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B66" w:rsidRPr="003F45E0" w:rsidRDefault="00700B66" w:rsidP="003F45E0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36"/>
          <w:lang w:eastAsia="cs-CZ"/>
        </w:rPr>
      </w:pPr>
      <w:r w:rsidRPr="003F45E0">
        <w:rPr>
          <w:rFonts w:eastAsia="Times New Roman" w:cstheme="minorHAnsi"/>
          <w:b/>
          <w:bCs/>
          <w:sz w:val="28"/>
          <w:szCs w:val="36"/>
          <w:lang w:eastAsia="cs-CZ"/>
        </w:rPr>
        <w:t>Důvodová zpráva:</w:t>
      </w:r>
    </w:p>
    <w:p w:rsidR="003F45E0" w:rsidRPr="00A9486B" w:rsidRDefault="003F45E0" w:rsidP="00700B6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cs-CZ"/>
        </w:rPr>
      </w:pPr>
      <w:r>
        <w:rPr>
          <w:rFonts w:eastAsia="Times New Roman" w:cstheme="minorHAnsi"/>
          <w:b/>
          <w:bCs/>
          <w:sz w:val="36"/>
          <w:szCs w:val="36"/>
          <w:lang w:eastAsia="cs-CZ"/>
        </w:rPr>
        <w:t>Vyhodnocení rozpočtového hospodaření 2025</w:t>
      </w:r>
    </w:p>
    <w:p w:rsidR="00700B66" w:rsidRPr="00A9486B" w:rsidRDefault="00700B66" w:rsidP="00700B66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cs-CZ"/>
        </w:rPr>
      </w:pPr>
      <w:r w:rsidRPr="00A9486B">
        <w:rPr>
          <w:rFonts w:eastAsia="Times New Roman" w:cstheme="minorHAnsi"/>
          <w:b/>
          <w:bCs/>
          <w:sz w:val="36"/>
          <w:szCs w:val="36"/>
          <w:lang w:eastAsia="cs-CZ"/>
        </w:rPr>
        <w:t>Plnění příjmů za rok 2025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Plnění příjmů statutárního města Chomutova za rok 2025 dosáhlo celkem 98,9 % upraveného rozpočtu. Celkové příjmy byly realizovány ve výši 1 670,4 mil. Kč při upraveném rozpočtu 1 689,3 mil. Kč. Výsledek lze hodnotit jako velmi dobrý a odpovídající reálnému vývoji v průběhu roku.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Nejvýznamnější složkou příjmů byly daňové příjmy, které byly naplněny na 102,1 % upraveného rozpočtu. Jejich výše překročila plán přibližně o </w:t>
      </w:r>
      <w:r w:rsidR="004E200A">
        <w:rPr>
          <w:rFonts w:eastAsia="Times New Roman" w:cstheme="minorHAnsi"/>
          <w:sz w:val="24"/>
          <w:szCs w:val="24"/>
          <w:lang w:eastAsia="cs-CZ"/>
        </w:rPr>
        <w:t>24,8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 mil. Kč. Tento vývoj byl ovlivněn zejména příznivým inkasem sdílených daní, především daně z přidané hodnoty a daní z příjmů. Daňové příjmy tak představovaly stabilní a klíčový zdroj financování rozpočtu města a současně kompenzovaly nižší plnění v jiných oblastech.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Nedaňové příjmy byly naplněny na 84,7 % upraveného rozpočtu, což představuje odchylku ve výši přibližně -</w:t>
      </w:r>
      <w:r w:rsidR="004E200A">
        <w:rPr>
          <w:rFonts w:eastAsia="Times New Roman" w:cstheme="minorHAnsi"/>
          <w:sz w:val="24"/>
          <w:szCs w:val="24"/>
          <w:lang w:eastAsia="cs-CZ"/>
        </w:rPr>
        <w:t>35,3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 mil. Kč. Nižší plnění bylo zaznamenáno zejména u příjmů z hospodaření s majetkem a </w:t>
      </w:r>
      <w:r w:rsidR="004E200A">
        <w:rPr>
          <w:rFonts w:eastAsia="Times New Roman" w:cstheme="minorHAnsi"/>
          <w:sz w:val="24"/>
          <w:szCs w:val="24"/>
          <w:lang w:eastAsia="cs-CZ"/>
        </w:rPr>
        <w:t>výnosů z finančního majetku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. V těchto oblastech došlo jednak k </w:t>
      </w:r>
      <w:r w:rsidRPr="00A9486B">
        <w:rPr>
          <w:rFonts w:eastAsia="Times New Roman" w:cstheme="minorHAnsi"/>
          <w:bCs/>
          <w:sz w:val="24"/>
          <w:szCs w:val="24"/>
          <w:lang w:eastAsia="cs-CZ"/>
        </w:rPr>
        <w:t>nadhodnocení rozpočtovaných příjmů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, jednak se projevil </w:t>
      </w:r>
      <w:r w:rsidRPr="00A9486B">
        <w:rPr>
          <w:rFonts w:eastAsia="Times New Roman" w:cstheme="minorHAnsi"/>
          <w:bCs/>
          <w:sz w:val="24"/>
          <w:szCs w:val="24"/>
          <w:lang w:eastAsia="cs-CZ"/>
        </w:rPr>
        <w:t>nižší výkon při jejich naplňování</w:t>
      </w:r>
      <w:r w:rsidRPr="00A9486B">
        <w:rPr>
          <w:rFonts w:eastAsia="Times New Roman" w:cstheme="minorHAnsi"/>
          <w:sz w:val="24"/>
          <w:szCs w:val="24"/>
          <w:lang w:eastAsia="cs-CZ"/>
        </w:rPr>
        <w:t>, zejména ze strany příslušných správních orgánů. Tyto příjmy jsou současně obecně méně stabilní a jejich vývoj je závislý na řadě vnějších i vnitřních faktorů.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Kapitálové příjmy byly naplněny na 92,4 % upraveného rozpočtu. Odchylka ve výši cca -</w:t>
      </w:r>
      <w:r w:rsidR="004E200A">
        <w:rPr>
          <w:rFonts w:eastAsia="Times New Roman" w:cstheme="minorHAnsi"/>
          <w:sz w:val="24"/>
          <w:szCs w:val="24"/>
          <w:lang w:eastAsia="cs-CZ"/>
        </w:rPr>
        <w:t>0,6</w:t>
      </w:r>
      <w:r w:rsidRPr="00A9486B">
        <w:rPr>
          <w:rFonts w:eastAsia="Times New Roman" w:cstheme="minorHAnsi"/>
          <w:sz w:val="24"/>
          <w:szCs w:val="24"/>
          <w:lang w:eastAsia="cs-CZ"/>
        </w:rPr>
        <w:t xml:space="preserve"> mil. Kč souvisí zejména s časovým posunem nebo nedokončením některých majetkových transakcí, což odpovídá běžné praxi.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Přijaté transfery dosáhly plnění 97,0 % upraveného rozpočtu, přičemž odchylka ve výši cca -</w:t>
      </w:r>
      <w:r w:rsidR="004E200A">
        <w:rPr>
          <w:rFonts w:eastAsia="Times New Roman" w:cstheme="minorHAnsi"/>
          <w:sz w:val="24"/>
          <w:szCs w:val="24"/>
          <w:lang w:eastAsia="cs-CZ"/>
        </w:rPr>
        <w:t>7,7</w:t>
      </w:r>
      <w:bookmarkStart w:id="0" w:name="_GoBack"/>
      <w:bookmarkEnd w:id="0"/>
      <w:r w:rsidRPr="00A9486B">
        <w:rPr>
          <w:rFonts w:eastAsia="Times New Roman" w:cstheme="minorHAnsi"/>
          <w:sz w:val="24"/>
          <w:szCs w:val="24"/>
          <w:lang w:eastAsia="cs-CZ"/>
        </w:rPr>
        <w:t xml:space="preserve"> mil. Kč byla způsobena především časovým posunem čerpání dotací a nedočerpáním některých projektů.</w:t>
      </w:r>
    </w:p>
    <w:p w:rsidR="00700B66" w:rsidRPr="00A9486B" w:rsidRDefault="00700B66" w:rsidP="00700B66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Celkově lze konstatovat, že příjmová stránka rozpočtu města byla v roce 2025 řízena stabilně. Přes výraznější odchylku u nedaňových příjmů nebyla ohrožena finanční stabilita města, a to zejména díky příznivému vývoji daňových příjmů.</w:t>
      </w: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1"/>
        <w:gridCol w:w="1519"/>
        <w:gridCol w:w="1515"/>
        <w:gridCol w:w="1538"/>
        <w:gridCol w:w="1349"/>
      </w:tblGrid>
      <w:tr w:rsidR="00A9486B" w:rsidRPr="00A9486B" w:rsidTr="00A9486B">
        <w:trPr>
          <w:tblHeader/>
          <w:jc w:val="center"/>
        </w:trPr>
        <w:tc>
          <w:tcPr>
            <w:tcW w:w="3141" w:type="dxa"/>
            <w:vMerge w:val="restart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Třída položek</w:t>
            </w:r>
          </w:p>
        </w:tc>
        <w:tc>
          <w:tcPr>
            <w:tcW w:w="3034" w:type="dxa"/>
            <w:gridSpan w:val="2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Rozpočet</w:t>
            </w:r>
            <w:r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 xml:space="preserve"> 2025</w:t>
            </w:r>
          </w:p>
        </w:tc>
        <w:tc>
          <w:tcPr>
            <w:tcW w:w="1538" w:type="dxa"/>
            <w:vMerge w:val="restart"/>
            <w:shd w:val="clear" w:color="auto" w:fill="4472C4" w:themeFill="accent5"/>
            <w:vAlign w:val="center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Skutečnost</w:t>
            </w:r>
          </w:p>
        </w:tc>
        <w:tc>
          <w:tcPr>
            <w:tcW w:w="1349" w:type="dxa"/>
            <w:vMerge w:val="restart"/>
            <w:shd w:val="clear" w:color="auto" w:fill="4472C4" w:themeFill="accent5"/>
            <w:vAlign w:val="center"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Procento plnění</w:t>
            </w:r>
          </w:p>
        </w:tc>
      </w:tr>
      <w:tr w:rsidR="00A9486B" w:rsidRPr="00A9486B" w:rsidTr="00A9486B">
        <w:trPr>
          <w:tblHeader/>
          <w:jc w:val="center"/>
        </w:trPr>
        <w:tc>
          <w:tcPr>
            <w:tcW w:w="3141" w:type="dxa"/>
            <w:vMerge/>
            <w:shd w:val="clear" w:color="auto" w:fill="FFFFFF"/>
            <w:vAlign w:val="center"/>
            <w:hideMark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519" w:type="dxa"/>
            <w:shd w:val="clear" w:color="auto" w:fill="4472C4" w:themeFill="accent5"/>
            <w:vAlign w:val="bottom"/>
            <w:hideMark/>
          </w:tcPr>
          <w:p w:rsidR="00A9486B" w:rsidRPr="00A9486B" w:rsidRDefault="00A9486B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Schválený</w:t>
            </w:r>
          </w:p>
        </w:tc>
        <w:tc>
          <w:tcPr>
            <w:tcW w:w="1515" w:type="dxa"/>
            <w:shd w:val="clear" w:color="auto" w:fill="4472C4" w:themeFill="accent5"/>
            <w:vAlign w:val="bottom"/>
            <w:hideMark/>
          </w:tcPr>
          <w:p w:rsidR="00A9486B" w:rsidRPr="00A9486B" w:rsidRDefault="00A9486B" w:rsidP="00700B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Upravený</w:t>
            </w:r>
          </w:p>
        </w:tc>
        <w:tc>
          <w:tcPr>
            <w:tcW w:w="1538" w:type="dxa"/>
            <w:vMerge/>
            <w:shd w:val="clear" w:color="auto" w:fill="FFFFFF"/>
            <w:vAlign w:val="center"/>
            <w:hideMark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349" w:type="dxa"/>
            <w:vMerge/>
            <w:shd w:val="clear" w:color="auto" w:fill="FFFFFF"/>
          </w:tcPr>
          <w:p w:rsidR="00A9486B" w:rsidRPr="00A9486B" w:rsidRDefault="00A9486B" w:rsidP="00700B66">
            <w:pPr>
              <w:spacing w:after="0" w:line="240" w:lineRule="auto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 Statutární město Chomutov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1 545 060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1 689 326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1 670 441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Default="00A9486B" w:rsidP="00A9486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212529"/>
              </w:rPr>
            </w:pPr>
            <w:r>
              <w:rPr>
                <w:rFonts w:ascii="Calibri" w:hAnsi="Calibri" w:cs="Calibri"/>
                <w:b/>
                <w:bCs/>
                <w:color w:val="212529"/>
              </w:rPr>
              <w:t>98,88%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Daňové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1 183 409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1 189 823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1 214 652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102,09%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Nedaňové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241 366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231 151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195 824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84,72%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Kapitálové příjmy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7 200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8 406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7 769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92,42%</w:t>
            </w:r>
          </w:p>
        </w:tc>
      </w:tr>
      <w:tr w:rsidR="00A9486B" w:rsidRPr="00A9486B" w:rsidTr="00232AB5">
        <w:trPr>
          <w:jc w:val="center"/>
        </w:trPr>
        <w:tc>
          <w:tcPr>
            <w:tcW w:w="3141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Přijaté transfery</w:t>
            </w:r>
          </w:p>
        </w:tc>
        <w:tc>
          <w:tcPr>
            <w:tcW w:w="1519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113 085</w:t>
            </w:r>
          </w:p>
        </w:tc>
        <w:tc>
          <w:tcPr>
            <w:tcW w:w="1515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259 946</w:t>
            </w:r>
          </w:p>
        </w:tc>
        <w:tc>
          <w:tcPr>
            <w:tcW w:w="1538" w:type="dxa"/>
            <w:shd w:val="clear" w:color="auto" w:fill="FFFFFF"/>
            <w:hideMark/>
          </w:tcPr>
          <w:p w:rsidR="00A9486B" w:rsidRPr="00A9486B" w:rsidRDefault="00A9486B" w:rsidP="00A9486B">
            <w:pPr>
              <w:spacing w:after="0" w:line="240" w:lineRule="auto"/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252 197</w:t>
            </w:r>
          </w:p>
        </w:tc>
        <w:tc>
          <w:tcPr>
            <w:tcW w:w="1349" w:type="dxa"/>
            <w:shd w:val="clear" w:color="auto" w:fill="FFFFFF"/>
            <w:vAlign w:val="center"/>
          </w:tcPr>
          <w:p w:rsidR="00A9486B" w:rsidRPr="00A9486B" w:rsidRDefault="00A9486B" w:rsidP="00A9486B">
            <w:pPr>
              <w:spacing w:after="0"/>
              <w:jc w:val="right"/>
              <w:rPr>
                <w:rFonts w:ascii="Calibri" w:hAnsi="Calibri" w:cs="Calibri"/>
                <w:bCs/>
                <w:color w:val="212529"/>
              </w:rPr>
            </w:pPr>
            <w:r w:rsidRPr="00A9486B">
              <w:rPr>
                <w:rFonts w:ascii="Calibri" w:hAnsi="Calibri" w:cs="Calibri"/>
                <w:bCs/>
                <w:color w:val="212529"/>
              </w:rPr>
              <w:t>97,02%</w:t>
            </w:r>
          </w:p>
        </w:tc>
      </w:tr>
    </w:tbl>
    <w:p w:rsidR="003C5389" w:rsidRPr="00A9486B" w:rsidRDefault="003C5389">
      <w:pPr>
        <w:rPr>
          <w:rFonts w:cstheme="minorHAnsi"/>
        </w:rPr>
      </w:pPr>
    </w:p>
    <w:p w:rsidR="00700B66" w:rsidRPr="00A9486B" w:rsidRDefault="00700B66">
      <w:pPr>
        <w:rPr>
          <w:rFonts w:cstheme="minorHAnsi"/>
        </w:rPr>
      </w:pPr>
    </w:p>
    <w:p w:rsidR="00700B66" w:rsidRPr="00A9486B" w:rsidRDefault="00700B66">
      <w:pPr>
        <w:rPr>
          <w:rFonts w:cstheme="minorHAnsi"/>
          <w:b/>
        </w:rPr>
      </w:pPr>
      <w:r w:rsidRPr="00A9486B">
        <w:rPr>
          <w:rFonts w:cstheme="minorHAnsi"/>
          <w:b/>
        </w:rPr>
        <w:lastRenderedPageBreak/>
        <w:t>Vyhodnocení daňových příjmů</w:t>
      </w:r>
      <w:r w:rsidR="00952FE7" w:rsidRPr="00A9486B">
        <w:rPr>
          <w:rFonts w:cstheme="minorHAnsi"/>
          <w:b/>
        </w:rPr>
        <w:t xml:space="preserve"> (Třída 1)</w:t>
      </w:r>
      <w:r w:rsidRPr="00A9486B">
        <w:rPr>
          <w:rFonts w:cstheme="minorHAnsi"/>
          <w:b/>
        </w:rPr>
        <w:t>: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1404"/>
        <w:gridCol w:w="1404"/>
        <w:gridCol w:w="1404"/>
        <w:gridCol w:w="894"/>
      </w:tblGrid>
      <w:tr w:rsidR="005B1289" w:rsidRPr="00A9486B" w:rsidTr="005B1289">
        <w:trPr>
          <w:trHeight w:val="20"/>
        </w:trPr>
        <w:tc>
          <w:tcPr>
            <w:tcW w:w="0" w:type="auto"/>
            <w:vMerge w:val="restart"/>
            <w:shd w:val="clear" w:color="auto" w:fill="4472C4" w:themeFill="accent5"/>
            <w:vAlign w:val="center"/>
          </w:tcPr>
          <w:p w:rsidR="005B1289" w:rsidRPr="00A9486B" w:rsidRDefault="005B1289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cs-CZ"/>
              </w:rPr>
              <w:t>Položka</w:t>
            </w:r>
          </w:p>
        </w:tc>
        <w:tc>
          <w:tcPr>
            <w:tcW w:w="0" w:type="auto"/>
            <w:gridSpan w:val="2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 xml:space="preserve"> 2025</w:t>
            </w:r>
          </w:p>
        </w:tc>
        <w:tc>
          <w:tcPr>
            <w:tcW w:w="0" w:type="auto"/>
            <w:vMerge w:val="restart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cs-CZ"/>
              </w:rPr>
              <w:t>Skutečnost</w:t>
            </w:r>
          </w:p>
        </w:tc>
        <w:tc>
          <w:tcPr>
            <w:tcW w:w="0" w:type="auto"/>
            <w:vMerge w:val="restart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Procento</w:t>
            </w:r>
          </w:p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plnění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vMerge/>
            <w:shd w:val="clear" w:color="auto" w:fill="4472C4" w:themeFill="accent5"/>
            <w:vAlign w:val="center"/>
          </w:tcPr>
          <w:p w:rsidR="005B1289" w:rsidRPr="00A9486B" w:rsidRDefault="005B1289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</w:p>
        </w:tc>
        <w:tc>
          <w:tcPr>
            <w:tcW w:w="0" w:type="auto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Schválený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  <w:t>Upravený</w:t>
            </w:r>
          </w:p>
        </w:tc>
        <w:tc>
          <w:tcPr>
            <w:tcW w:w="0" w:type="auto"/>
            <w:vMerge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Merge/>
            <w:shd w:val="clear" w:color="auto" w:fill="4472C4" w:themeFill="accent5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20"/>
                <w:lang w:eastAsia="cs-CZ"/>
              </w:rPr>
            </w:pP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4472C4" w:themeFill="accent5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DAŇOVÉ PŘÍJMY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1 183 409 000,00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1 189 823 000,00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1 214 652 113,95</w:t>
            </w:r>
          </w:p>
        </w:tc>
        <w:tc>
          <w:tcPr>
            <w:tcW w:w="0" w:type="auto"/>
            <w:shd w:val="clear" w:color="auto" w:fill="4472C4" w:themeFill="accent5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7"/>
                <w:lang w:eastAsia="cs-CZ"/>
              </w:rPr>
              <w:t>102,09%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 z příjmů, zisku a kapitálových výnosů a některé další přímé daně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520 900 000,00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521 654 900,00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531 572 956,54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101,90%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 z příjmů fyzických osob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239 600 000,00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239 600 000,00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240 303 856,37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100,29%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placené plátci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192 400 000,00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192 400 000,00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188 482 479,78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97,96%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placené poplatníky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15 200 000,00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15 200 000,00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17 113 293,57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112,59%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fyzických osob vybírané srážkou podle zvláštní sazby daně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34 708 083,02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108,46%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Daně z příjmů, zisku a kapitálových výnosů a některé další přímé daně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281 300 000,00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282 054 900,00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291 269 100,17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103,27%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právnických osob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253 300 000,00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253 300 000,00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262 514 220,17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103,64%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příjmů právnických osob v případech, kdy poplatníkem je obec, s výjimkou daně vybírané srážkou podle zvláštní sazby daně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28 754 900,00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28 754 880,00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100,00%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Daně, poplatky a jiná obdobná peněžitá plnění ze zboží a služeb v tuzemsku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98,62%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ze všeobecných daní ze zboží a služeb v tuzemsku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98,62%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přidané hodnoty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497 400 000,00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490 511 665,99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Daně a poplatky z vybraných činností a služeb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63 109 000,00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63 109 000,00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72 966 969,52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115,62%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poplatků a odvodů v oblasti životního prostředí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731 743,39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731,74%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odvodů za odnětí půdy ze zemědělského půdního fondu podle zákona upravujícího ochranu zemědělského půdního fondu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720 037,39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720,04%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odnětí pozemku podle lesního zákona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11 706,00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místních poplatků z vybraných činností a služeb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34 350 000,00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34 350 000,00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37 714 361,74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109,79%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ze psů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1 847 589,00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102,64%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 pobytu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1 845 937,00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184,59%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užívání veřejného prostranství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1 414 265,00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94,28%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poplatku za obecní systém odpadového hospodářství a příjem z poplatku za odkládání komunálního odpadu z nemovité věci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30 050 000,00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30 050 000,00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32 606 570,74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108,51%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ostatních odvodů z vybraných činností a služeb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1 476 500,00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98,43%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za zkoušky z odborné způsobilosti od žadatelů o řidičské oprávnění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1 413 500,00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94,23%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odvodů z vybraných činností a služeb jinde neuvedených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ze správních a soudních poplatků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19 587 296,00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107,87%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správních poplatků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18 159 000,00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19 587 296,00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107,87%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daní, poplatků a jiných obdobných peněžitých plnění v oblasti hazardních her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13 457 068,39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149,52%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hazardních her s výjimkou dílčí daně z technických her za zdaňovací období do konce roku 2023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72 049,67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1,80%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zrušeného odvodu z loterií a podobných her kromě odvodu z výherních hracích přístrojů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489,64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ze zrušeného odvodu z výherních hracích přístrojů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207 619,64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2552DE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-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hazardních her s výjimkou technických her neprovozovaných prostřednictvím internetu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9 528 558,64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272,24%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technických her neprovozovaných prostřednictvím internetu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3 648 350,80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243,22%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B4C6E7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Příjem z majetkových daní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000000" w:fill="B4C6E7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7"/>
                <w:lang w:eastAsia="cs-CZ"/>
              </w:rPr>
              <w:t>111,09%</w:t>
            </w:r>
          </w:p>
        </w:tc>
      </w:tr>
      <w:tr w:rsidR="005B1289" w:rsidRPr="00A9486B" w:rsidTr="005B1289">
        <w:trPr>
          <w:trHeight w:val="20"/>
        </w:trPr>
        <w:tc>
          <w:tcPr>
            <w:tcW w:w="0" w:type="auto"/>
            <w:shd w:val="clear" w:color="000000" w:fill="D9E2F3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7"/>
                <w:lang w:eastAsia="cs-CZ"/>
              </w:rPr>
              <w:t>Příjem z daní z majetku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000000" w:fill="D9E2F3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111,09%</w:t>
            </w:r>
          </w:p>
        </w:tc>
      </w:tr>
      <w:tr w:rsidR="00C354D7" w:rsidRPr="00A9486B" w:rsidTr="005B1289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Příjem z daně z nemovitých věcí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102 000 000,00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107 659 100,00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119 600 521,90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354D7" w:rsidRPr="00A9486B" w:rsidRDefault="00C354D7" w:rsidP="00C354D7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7"/>
                <w:lang w:eastAsia="cs-CZ"/>
              </w:rPr>
              <w:t>111,09%</w:t>
            </w:r>
          </w:p>
        </w:tc>
      </w:tr>
    </w:tbl>
    <w:p w:rsidR="00700B66" w:rsidRPr="00A9486B" w:rsidRDefault="00700B66">
      <w:pPr>
        <w:rPr>
          <w:rFonts w:cstheme="minorHAnsi"/>
        </w:rPr>
      </w:pP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Daňové příjmy města v roce 2025 dosáhly 102,1 % upraveného rozpočtu a byly tak naplněny nad očekávání. Celkový výsledek byl pozitivně ovlivněn zejména vyšším inkasem daní z příjmů fyzických a právnických osob a nadprůměrným plněním u místních poplatků a příjmů z hazardních her.</w:t>
      </w: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lastRenderedPageBreak/>
        <w:t>Mírné neplnění bylo zaznamenáno pouze u daně z přidané hodnoty, které však nemělo zásadní dopad na celkový výsledek. Naopak pozitivní vývoj byl patrný u daně z nemovitých věcí a některých lokálních poplatků, zejména poplatku z pobytu a odpadového hospodářství, kde došlo k </w:t>
      </w:r>
      <w:proofErr w:type="spellStart"/>
      <w:r w:rsidRPr="00A9486B">
        <w:rPr>
          <w:rFonts w:asciiTheme="minorHAnsi" w:hAnsiTheme="minorHAnsi" w:cstheme="minorHAnsi"/>
        </w:rPr>
        <w:t>dovybrání</w:t>
      </w:r>
      <w:proofErr w:type="spellEnd"/>
      <w:r w:rsidRPr="00A9486B">
        <w:rPr>
          <w:rFonts w:asciiTheme="minorHAnsi" w:hAnsiTheme="minorHAnsi" w:cstheme="minorHAnsi"/>
        </w:rPr>
        <w:t xml:space="preserve"> části dluhů z let minulých.</w:t>
      </w:r>
    </w:p>
    <w:p w:rsidR="002C576F" w:rsidRPr="00A9486B" w:rsidRDefault="002C576F" w:rsidP="002C57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daňové příjmy potvrdily svou stabilitu a současně vysokou závislost města na sdílených daních, jejichž vývoj je ovlivněn především makroekonomickými faktory. Překročení rozpočtu v této oblasti významně přispělo k vyrovnání nižšího plnění u nedaňových příjmů.</w:t>
      </w:r>
    </w:p>
    <w:p w:rsidR="002C576F" w:rsidRPr="00A9486B" w:rsidRDefault="002C576F" w:rsidP="002C576F">
      <w:pPr>
        <w:rPr>
          <w:rFonts w:cstheme="minorHAnsi"/>
          <w:b/>
        </w:rPr>
      </w:pPr>
      <w:r w:rsidRPr="00A9486B">
        <w:rPr>
          <w:rFonts w:cstheme="minorHAnsi"/>
          <w:b/>
        </w:rPr>
        <w:t>Vyhodnocení nedaňových příjmů</w:t>
      </w:r>
      <w:r w:rsidR="00952FE7" w:rsidRPr="00A9486B">
        <w:rPr>
          <w:rFonts w:cstheme="minorHAnsi"/>
          <w:b/>
        </w:rPr>
        <w:t xml:space="preserve"> (Třída 2)</w:t>
      </w:r>
      <w:r w:rsidRPr="00A9486B">
        <w:rPr>
          <w:rFonts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A806AE" w:rsidRPr="00A9486B" w:rsidTr="00A806AE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A806AE" w:rsidRPr="00A9486B" w:rsidTr="00A806AE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NEDAŇOVÉ PŘÍJMY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241 365 700,00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231 151 200,00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195 824 050,93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84,72%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vlastní činnosti a odvody přebytků organizací s přímým vztahem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155 574 100,00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170 699 400,00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162 234 674,75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95,04%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vlastní činnosti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36 750 200,00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38 764 200,00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43 806 512,47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113,01%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poskytování služeb, výrobků, prací, výkonů a práv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36 600 200,00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38 614 200,00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43 599 132,47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112,91%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zboží (již nakoupeného za účelem prodeje)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207 380,00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138,25%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odvodů organizací s přímým vztahem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20 929 100,00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34 040 400,00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34 040 629,32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odvodů příspěvkových organizací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20 929 100,00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34 040 400,00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34 040 629,32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pronájmu nebo pachtu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28 794 800,00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28 794 800,00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25 040 997,77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86,96%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pozemků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14 185 000,00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14 185 000,00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10 825 680,01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76,32%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ostatních nemovitých věcí a jejich částí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9 186 800,00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9 186 800,00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8 706 988,51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94,78%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pronájmu nebo pachtu movitých věcí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5 423 000,00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5 423 000,00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5 508 329,25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101,57%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Přijaté výnosy z finančního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69 100 000,00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69 100 000,00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59 346 535,19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85,89%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úroků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28 004 872,20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107,71%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podílů na zisku a dividend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25 132 026,41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100,13%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Kursové rozdíly v příjmech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8 442,07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Úrokové příjmy z finančních derivátů kromě příjmů z derivátů k vlastním dluhopisům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720 921,03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24,03%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příjmy z výnosů finančního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5 480 273,48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36,54%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Přijaté sankční platby a vratky transferů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19 084 600,00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28 046 700,00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28 657 615,20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102,18%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Přijaté sankční platby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18 084 378,66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102,48%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sankčních plateb přijatých od jiných osob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17 647 000,00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18 084 378,66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102,48%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Přijaté vratky transferů a ostatní podobné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10 399 700,00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10 573 236,54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101,67%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finančního vypořádání mezi obcemi a dobrovolnými svazky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1 437 600,00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1 257 735,43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87,49%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přijaté vratky transferů a podobné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9 315 501,11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103,94%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prodeje neinvestičního majetku a ostatní nedaňové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66 707 000,00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32 405 100,00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4 931 760,98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15,22%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prodeje krátkodobého a drobného dlouhodobého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217 333,10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krátkodobého a drobného dlouhodobého neinvestičního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217 333,10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nedaňové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66 707 000,00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32 405 100,00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4 714 427,88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14,55%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Přijaté peněžité neinvestiční dary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pojistných plnění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504 681,01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Přijaté neinvestiční příspěvky a náhrady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965 300,00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3 932 632,86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407,40%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Neidentifikované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1 700,00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2C576F" w:rsidRPr="00A9486B" w:rsidTr="00A806AE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nedaňové příjmy jinde nezařazené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66 420 000,00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31 394 800,00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230 414,01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76F" w:rsidRPr="00A9486B" w:rsidRDefault="002C576F" w:rsidP="002C576F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0,73%</w:t>
            </w:r>
          </w:p>
        </w:tc>
      </w:tr>
    </w:tbl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Nedaňové příjmy města v roce 2025 dosáhly 84,7 % upraveného rozpočtu, což představuje významné neplnění ve výši cca 35 mil. Kč. Tento výsledek byl ovlivněn především nízkým plněním v oblasti ostatních nedaňových příjmů, kde došlo ke zpoždění vratek plánovaných dotací (převod ro roku 2026) a výnosů z finančního majetku, kde město z důvodu optimalizace zvolilo jinou investiční strategii s pozdější splatností.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lastRenderedPageBreak/>
        <w:t>Pozitivně se vyvíjely příjmy z vlastní činnosti, které překročily plán (113 %), a odvody příspěvkových organizací, které byly naplněny v plné výši. Stabilní výsledek vykázaly rovněž sankční platby a vratky transferů (102 %).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Naopak nižší plnění bylo zaznamenáno zejména: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příjmů z pronájmu majetku (87 %), především u pozemků,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výnosů z finančního majetku (86 %), kde došlo k výraznému poklesu u derivátů a ostatních finančních výnosů,</w:t>
      </w:r>
    </w:p>
    <w:p w:rsidR="00A806AE" w:rsidRPr="00A9486B" w:rsidRDefault="00A806AE" w:rsidP="00A806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a především u ostatních nedaňových příjmů (15 %), kde nebyly naplněny rozpočtované příjmy, zejména u položky ostatní nedaňové příjmy jinde nezařazené (již zmíněné plánované přijaté dotace přesunuté do roku 2026).</w:t>
      </w:r>
    </w:p>
    <w:p w:rsidR="00A806AE" w:rsidRPr="00A9486B" w:rsidRDefault="00A806AE" w:rsidP="00A806AE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Celkově lze konstatovat, že nedaňové příjmy jsou méně stabilní a hůře </w:t>
      </w:r>
      <w:proofErr w:type="spellStart"/>
      <w:r w:rsidRPr="00A9486B">
        <w:rPr>
          <w:rFonts w:eastAsia="Times New Roman" w:cstheme="minorHAnsi"/>
          <w:sz w:val="24"/>
          <w:szCs w:val="24"/>
          <w:lang w:eastAsia="cs-CZ"/>
        </w:rPr>
        <w:t>predikovatelné</w:t>
      </w:r>
      <w:proofErr w:type="spellEnd"/>
      <w:r w:rsidRPr="00A9486B">
        <w:rPr>
          <w:rFonts w:eastAsia="Times New Roman" w:cstheme="minorHAnsi"/>
          <w:sz w:val="24"/>
          <w:szCs w:val="24"/>
          <w:lang w:eastAsia="cs-CZ"/>
        </w:rPr>
        <w:t xml:space="preserve"> než daňové příjmy. Výsledek roku 2025 současně ukazuje na částečné nadhodnocení některých rozpočtových položek a potřebu jejich realističtějšího plánování v dalších letech.</w:t>
      </w:r>
    </w:p>
    <w:p w:rsidR="002C576F" w:rsidRPr="00A9486B" w:rsidRDefault="00A806AE" w:rsidP="002C576F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kapitálových příjmů</w:t>
      </w:r>
      <w:r w:rsidR="00952FE7" w:rsidRPr="00A9486B">
        <w:rPr>
          <w:rFonts w:asciiTheme="minorHAnsi" w:hAnsiTheme="minorHAnsi" w:cstheme="minorHAnsi"/>
          <w:b/>
        </w:rPr>
        <w:t xml:space="preserve"> (Třída 3)</w:t>
      </w:r>
      <w:r w:rsidRPr="00A9486B">
        <w:rPr>
          <w:rFonts w:asciiTheme="minorHAnsi" w:hAnsiTheme="minorHAnsi"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A806AE" w:rsidRPr="00A9486B" w:rsidTr="00A806AE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A806AE" w:rsidRPr="00A9486B" w:rsidTr="00A806AE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A806AE" w:rsidRPr="00A9486B" w:rsidRDefault="00A806AE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A806AE" w:rsidRPr="00A9486B" w:rsidRDefault="00A806AE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A806AE" w:rsidRPr="00A9486B" w:rsidTr="005B1289">
        <w:trPr>
          <w:trHeight w:val="30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A806AE" w:rsidRPr="00A9486B" w:rsidRDefault="005B1289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KAPITÁLOVÉ PŘÍJMY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/>
                <w:sz w:val="20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Příjem z prodeje dlouhodobého majetku a ostatní kapitálové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z prodeje dlouhodobého majetku a ostatní kapitálové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8 406 000,00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7 768 543,00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92,42%</w:t>
            </w:r>
          </w:p>
        </w:tc>
      </w:tr>
      <w:tr w:rsidR="00A806AE" w:rsidRPr="00A9486B" w:rsidTr="005B1289">
        <w:trPr>
          <w:trHeight w:val="30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pozemků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6 562 603,00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93,75%</w:t>
            </w:r>
          </w:p>
        </w:tc>
      </w:tr>
      <w:tr w:rsidR="00A806AE" w:rsidRPr="00A9486B" w:rsidTr="005B1289">
        <w:trPr>
          <w:trHeight w:val="45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z prodeje ostatních nemovitých věcí a jejich částí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1 205 940,00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6AE" w:rsidRPr="00A9486B" w:rsidRDefault="00A806AE" w:rsidP="00A806A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85,77%</w:t>
            </w:r>
          </w:p>
        </w:tc>
      </w:tr>
    </w:tbl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Kapitálové příjmy města v roce 2025 dosáhly 92,4 % upraveného rozpočtu, což představuje mírné neplnění ve výši cca 0,6 mil. Kč. Celkový objem těchto příjmů činil 7,8 mil. Kč.</w:t>
      </w: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Rozhodující část tvořily příjmy z prodeje pozemků, které byly naplněny na 93,8 % a představují stabilní základ kapitálových příjmů. Nižší plnění bylo zaznamenáno u prodeje ostatních nemovitých věcí (85,8 %), což souvisí zejména s časovým posunem realizace jednotlivých prodejů nebo nedokončením některých transakcí do konce roku.</w:t>
      </w: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lze konstatovat, že kapitálové příjmy byly naplněny na odpovídající úrovni a jejich vývoj odpovídá běžné míře nejistoty spojené s realizací majetkových operací. Kapitálové příjmy jsou však zanedbatelným doplňkem hospodaření.</w:t>
      </w: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5B1289">
      <w:pPr>
        <w:pStyle w:val="Normlnweb"/>
        <w:jc w:val="both"/>
        <w:rPr>
          <w:rFonts w:asciiTheme="minorHAnsi" w:hAnsiTheme="minorHAnsi" w:cstheme="minorHAnsi"/>
        </w:rPr>
      </w:pPr>
    </w:p>
    <w:p w:rsidR="005B1289" w:rsidRPr="00A9486B" w:rsidRDefault="005B1289" w:rsidP="005B1289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lastRenderedPageBreak/>
        <w:t xml:space="preserve">Vyhodnocení </w:t>
      </w:r>
      <w:r w:rsidR="00952FE7" w:rsidRPr="00A9486B">
        <w:rPr>
          <w:rFonts w:asciiTheme="minorHAnsi" w:hAnsiTheme="minorHAnsi" w:cstheme="minorHAnsi"/>
          <w:b/>
        </w:rPr>
        <w:t xml:space="preserve">přijatých </w:t>
      </w:r>
      <w:r w:rsidRPr="00A9486B">
        <w:rPr>
          <w:rFonts w:asciiTheme="minorHAnsi" w:hAnsiTheme="minorHAnsi" w:cstheme="minorHAnsi"/>
          <w:b/>
        </w:rPr>
        <w:t>transferů</w:t>
      </w:r>
      <w:r w:rsidR="00952FE7" w:rsidRPr="00A9486B">
        <w:rPr>
          <w:rFonts w:asciiTheme="minorHAnsi" w:hAnsiTheme="minorHAnsi" w:cstheme="minorHAnsi"/>
          <w:b/>
        </w:rPr>
        <w:t xml:space="preserve"> (Třída 4)</w:t>
      </w:r>
      <w:r w:rsidRPr="00A9486B">
        <w:rPr>
          <w:rFonts w:asciiTheme="minorHAnsi" w:hAnsiTheme="minorHAnsi" w:cstheme="minorHAnsi"/>
          <w:b/>
        </w:rPr>
        <w:t>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5"/>
        <w:gridCol w:w="1418"/>
        <w:gridCol w:w="1417"/>
        <w:gridCol w:w="1418"/>
        <w:gridCol w:w="894"/>
      </w:tblGrid>
      <w:tr w:rsidR="005B1289" w:rsidRPr="00A9486B" w:rsidTr="00952FE7">
        <w:trPr>
          <w:trHeight w:val="20"/>
        </w:trPr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 xml:space="preserve"> 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Skutečnost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Procento plnění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  <w:t>Upravený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  <w:tc>
          <w:tcPr>
            <w:tcW w:w="8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</w:tcPr>
          <w:p w:rsidR="005B1289" w:rsidRPr="00A9486B" w:rsidRDefault="005B1289" w:rsidP="005B128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sz w:val="20"/>
                <w:szCs w:val="16"/>
                <w:lang w:eastAsia="cs-CZ"/>
              </w:rPr>
            </w:pP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Přijaté transfery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113 085 200,00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259 945 600,00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252 196 790,69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20"/>
                <w:szCs w:val="16"/>
                <w:lang w:eastAsia="cs-CZ"/>
              </w:rPr>
              <w:t>97,02%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Neinvestiční přijaté transfery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113 085 200,00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237 418 500,00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8"/>
                <w:szCs w:val="16"/>
                <w:lang w:eastAsia="cs-CZ"/>
              </w:rPr>
              <w:t>228 977 420,18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8"/>
                <w:szCs w:val="16"/>
                <w:lang w:eastAsia="cs-CZ"/>
              </w:rPr>
              <w:t>96,44%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91 609 200,00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151 906 000,00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149 579 784,13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98,47%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 všeobecné pokladní správy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1 320 000,00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ze státního rozpočtu v rámci souhrnného dotačního vztahu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57 583 300,00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ze státních fondů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11 994 300,00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11 994 103,49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přijaté transfery ze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27 899 000,00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81 008 400,00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78 682 380,64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97,13%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4 826 900,00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Neinvestiční přijaté transfery od rozpočtů územní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21 476 000,00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84 912 500,00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78 593 031,05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92,56%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od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586 610,00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177,76%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přijaté transfery od krajů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21 146 000,00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84 582 500,00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78 006 421,05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92,23%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převody z vlastních fondů a ve vztahu k útvarům bez právní osobnosti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627 486,00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z ostatních vlastních fondů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627 486,00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Příjem náhrad za nezpůsobenou újmu a příjem náhrad škod způsobených nezákonným rozhodnutím nebo nesprávným úředním postupem při výkonu veřejné moci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177 119,00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cs-CZ"/>
              </w:rPr>
              <w:t>29,52%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Příjem náhrad za nezpůsobenou újmu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177 119,00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29,52%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Investiční přijaté transfery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22 527 100,00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8"/>
                <w:szCs w:val="16"/>
                <w:lang w:eastAsia="cs-CZ"/>
              </w:rPr>
              <w:t>23 219 370,51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8"/>
                <w:szCs w:val="16"/>
                <w:lang w:eastAsia="cs-CZ"/>
              </w:rPr>
              <w:t>103,07%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Investiční přijaté transfery od rozpočtů ústřední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22 262 100,00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sz w:val="16"/>
                <w:szCs w:val="16"/>
                <w:lang w:eastAsia="cs-CZ"/>
              </w:rPr>
              <w:t>22 261 547,31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investiční přijaté transfery ze státního rozpočtu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22 262 100,00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22 261 547,31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rozpočtů územní úrovně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957 823,20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361,44%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obcí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692 833,20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-</w:t>
            </w:r>
          </w:p>
        </w:tc>
      </w:tr>
      <w:tr w:rsidR="005B1289" w:rsidRPr="00A9486B" w:rsidTr="00952FE7">
        <w:trPr>
          <w:trHeight w:val="20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Investiční přijaté transfery od krajů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264 990,00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289" w:rsidRPr="00A9486B" w:rsidRDefault="005B1289" w:rsidP="005B128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000000"/>
                <w:sz w:val="16"/>
                <w:szCs w:val="16"/>
                <w:lang w:eastAsia="cs-CZ"/>
              </w:rPr>
              <w:t>100,00%</w:t>
            </w:r>
          </w:p>
        </w:tc>
      </w:tr>
    </w:tbl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Přijaté transfery města v roce 2025 dosáhly 97,0 % upraveného rozpočtu, což představuje mírné neplnění ve výši cca 7,7 mil. Kč. Celkový objem transferů činil 252,2 mil. Kč.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Rozhodující část tvořily neinvestiční transfery, které byly naplněny na 96,4 %. Transfery ze státního rozpočtu byly realizovány téměř v plné výši (98,5 %), zejména v rámci souhrnného dotačního vztahu a dotací ze státních fondů. Nižší plnění bylo zaznamenáno především u transferů z územní úrovně (92,6 %), zejména od krajů, což souvisí s časovým posunem čerpání nebo nedokončením některých projektů.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Investiční transfery byly naopak mírně překročeny (103,1 %), především vlivem vyššího než očekávaného inkasa z územní úrovně, zatímco transfery ze státního rozpočtu byly realizovány dle plánu.</w:t>
      </w: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Celkově lze konstatovat, že plnění transferů odpovídá standardnímu průběhu čerpání dotací, kde dochází k časovým posunům mezi jednotlivými roky. Odchylky nejsou systémového charakteru a neměly zásadní dopad na celkové hospodaření města.</w:t>
      </w:r>
    </w:p>
    <w:p w:rsidR="002C576F" w:rsidRPr="00A9486B" w:rsidRDefault="002C576F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</w:rPr>
      </w:pPr>
    </w:p>
    <w:p w:rsidR="00952FE7" w:rsidRPr="00A9486B" w:rsidRDefault="00952FE7" w:rsidP="00952FE7">
      <w:pPr>
        <w:pStyle w:val="Normlnweb"/>
        <w:jc w:val="both"/>
        <w:rPr>
          <w:rFonts w:asciiTheme="minorHAnsi" w:hAnsiTheme="minorHAnsi" w:cstheme="minorHAnsi"/>
          <w:b/>
          <w:sz w:val="32"/>
        </w:rPr>
      </w:pPr>
      <w:r w:rsidRPr="00A9486B">
        <w:rPr>
          <w:rFonts w:asciiTheme="minorHAnsi" w:hAnsiTheme="minorHAnsi" w:cstheme="minorHAnsi"/>
          <w:b/>
          <w:sz w:val="32"/>
        </w:rPr>
        <w:lastRenderedPageBreak/>
        <w:t>Vyhodnocení čerpání výdajů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Čerpání výdajů statutárního města Chomutova za rok 2025 dosáhlo celkem 1 549,2 mil. Kč, což představuje 89,1 % upraveného rozpočtu ve výši 1 738,3 mil. Kč. Nevyčerpání prostředků činí přibližně 189 mil. Kč.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 xml:space="preserve">Běžné výdaje byly realizovány ve výši 1 308,7 mil. Kč, tj. 88,2 % upraveného rozpočtu. Nižší čerpání se projevilo zejména v oblasti provozních výdajů, kde došlo k úsporám oproti plánovaným hodnotám, a dále vlivem </w:t>
      </w:r>
      <w:proofErr w:type="spellStart"/>
      <w:r w:rsidRPr="00A9486B">
        <w:rPr>
          <w:rFonts w:asciiTheme="minorHAnsi" w:hAnsiTheme="minorHAnsi" w:cstheme="minorHAnsi"/>
        </w:rPr>
        <w:t>nerealizace</w:t>
      </w:r>
      <w:proofErr w:type="spellEnd"/>
      <w:r w:rsidRPr="00A9486B">
        <w:rPr>
          <w:rFonts w:asciiTheme="minorHAnsi" w:hAnsiTheme="minorHAnsi" w:cstheme="minorHAnsi"/>
        </w:rPr>
        <w:t xml:space="preserve"> či posunu některých výdajů do následujícího období. Tento vývoj může současně částečně odrážet nadhodnocení rozpočtových potřeb v průběhu přípravy rozpočtu, úspory v provozních výdajích nebo nižší realizační schopnost jednotlivých správců rozpočtových kapitol.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Kapitálové výdaje byly čerpány ve výši 240,5 mil. Kč, což odpovídá 94,6 % upraveného rozpočtu. Nevyčerpání prostředků ve výši cca 13,7 mil. Kč souvisí především s časovým posunem realizace investičních akcí, prodloužením zadávacích řízení nebo nedokončením některých projektů do konce rozpočtového roku. Tento vývoj odpovídá běžné míře nejistoty spojené s investiční činností.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Celkové nižší čerpání výdajů je tak dáno kombinací úspor v běžných výdajích a časových posunů investičních akcí. Nedošlo k překračování rozpočtových limitů a výdajová stránka rozpočtu byla v průběhu roku řízena obezřetně.</w:t>
      </w: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Současně však struktura čerpání, zejména u běžných výdajů, ukazuje na prostor pro zpřesnění rozpočtového plánování a posílení průběžného řízení čerpání v jednotlivých kapitolách.</w:t>
      </w:r>
    </w:p>
    <w:tbl>
      <w:tblPr>
        <w:tblStyle w:val="Mkatabulky"/>
        <w:tblW w:w="9064" w:type="dxa"/>
        <w:tblLook w:val="04A0" w:firstRow="1" w:lastRow="0" w:firstColumn="1" w:lastColumn="0" w:noHBand="0" w:noVBand="1"/>
      </w:tblPr>
      <w:tblGrid>
        <w:gridCol w:w="3920"/>
        <w:gridCol w:w="1413"/>
        <w:gridCol w:w="1411"/>
        <w:gridCol w:w="1275"/>
        <w:gridCol w:w="1045"/>
      </w:tblGrid>
      <w:tr w:rsidR="00A9486B" w:rsidRPr="00A9486B" w:rsidTr="00D70672">
        <w:tc>
          <w:tcPr>
            <w:tcW w:w="3920" w:type="dxa"/>
            <w:vMerge w:val="restart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Třída položek</w:t>
            </w:r>
          </w:p>
        </w:tc>
        <w:tc>
          <w:tcPr>
            <w:tcW w:w="2824" w:type="dxa"/>
            <w:gridSpan w:val="2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Rozpočet 2025</w:t>
            </w:r>
          </w:p>
        </w:tc>
        <w:tc>
          <w:tcPr>
            <w:tcW w:w="1275" w:type="dxa"/>
            <w:vMerge w:val="restart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Skutečnost</w:t>
            </w:r>
          </w:p>
        </w:tc>
        <w:tc>
          <w:tcPr>
            <w:tcW w:w="1045" w:type="dxa"/>
            <w:vMerge w:val="restart"/>
            <w:shd w:val="clear" w:color="auto" w:fill="4472C4" w:themeFill="accent5"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Procento čerpání</w:t>
            </w:r>
          </w:p>
        </w:tc>
      </w:tr>
      <w:tr w:rsidR="00A9486B" w:rsidRPr="00A9486B" w:rsidTr="00D70672">
        <w:tc>
          <w:tcPr>
            <w:tcW w:w="3920" w:type="dxa"/>
            <w:vMerge/>
            <w:hideMark/>
          </w:tcPr>
          <w:p w:rsidR="00A9486B" w:rsidRPr="00A9486B" w:rsidRDefault="00A9486B" w:rsidP="00B44F5A">
            <w:pPr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413" w:type="dxa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Schválený</w:t>
            </w:r>
          </w:p>
        </w:tc>
        <w:tc>
          <w:tcPr>
            <w:tcW w:w="1411" w:type="dxa"/>
            <w:shd w:val="clear" w:color="auto" w:fill="4472C4" w:themeFill="accent5"/>
            <w:hideMark/>
          </w:tcPr>
          <w:p w:rsidR="00A9486B" w:rsidRPr="00D70672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</w:pPr>
            <w:r w:rsidRPr="00D70672">
              <w:rPr>
                <w:rFonts w:eastAsia="Times New Roman" w:cstheme="minorHAnsi"/>
                <w:b/>
                <w:bCs/>
                <w:color w:val="FFFFFF" w:themeColor="background1"/>
                <w:lang w:eastAsia="cs-CZ"/>
              </w:rPr>
              <w:t>Upravený</w:t>
            </w:r>
          </w:p>
        </w:tc>
        <w:tc>
          <w:tcPr>
            <w:tcW w:w="1275" w:type="dxa"/>
            <w:vMerge/>
            <w:hideMark/>
          </w:tcPr>
          <w:p w:rsidR="00A9486B" w:rsidRPr="00A9486B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  <w:tc>
          <w:tcPr>
            <w:tcW w:w="1045" w:type="dxa"/>
            <w:vMerge/>
          </w:tcPr>
          <w:p w:rsidR="00A9486B" w:rsidRPr="00A9486B" w:rsidRDefault="00A9486B" w:rsidP="00A9486B">
            <w:pPr>
              <w:jc w:val="center"/>
              <w:rPr>
                <w:rFonts w:eastAsia="Times New Roman" w:cstheme="minorHAnsi"/>
                <w:b/>
                <w:bCs/>
                <w:color w:val="212529"/>
                <w:lang w:eastAsia="cs-CZ"/>
              </w:rPr>
            </w:pP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 Statutární město Chomutov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1 545 060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1 738 273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b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b/>
                <w:color w:val="212529"/>
                <w:lang w:eastAsia="cs-CZ"/>
              </w:rPr>
              <w:t>1 549 206</w:t>
            </w:r>
          </w:p>
        </w:tc>
        <w:tc>
          <w:tcPr>
            <w:tcW w:w="1045" w:type="dxa"/>
          </w:tcPr>
          <w:p w:rsidR="00D70672" w:rsidRPr="00A36864" w:rsidRDefault="00D70672" w:rsidP="00D70672">
            <w:pPr>
              <w:jc w:val="center"/>
            </w:pPr>
            <w:r w:rsidRPr="00A36864">
              <w:t>89,12%</w:t>
            </w: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Běžné výdaje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1 319 110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1 483 980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1 308 661</w:t>
            </w:r>
          </w:p>
        </w:tc>
        <w:tc>
          <w:tcPr>
            <w:tcW w:w="1045" w:type="dxa"/>
          </w:tcPr>
          <w:p w:rsidR="00D70672" w:rsidRPr="00A36864" w:rsidRDefault="00D70672" w:rsidP="00D70672">
            <w:pPr>
              <w:jc w:val="center"/>
            </w:pPr>
            <w:r w:rsidRPr="00A36864">
              <w:t>88,19%</w:t>
            </w:r>
          </w:p>
        </w:tc>
      </w:tr>
      <w:tr w:rsidR="00D70672" w:rsidRPr="00A9486B" w:rsidTr="00D70672">
        <w:tc>
          <w:tcPr>
            <w:tcW w:w="3920" w:type="dxa"/>
            <w:hideMark/>
          </w:tcPr>
          <w:p w:rsidR="00D70672" w:rsidRPr="00A9486B" w:rsidRDefault="00D70672" w:rsidP="00D70672">
            <w:pPr>
              <w:ind w:left="403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 Kapitálové výdaje</w:t>
            </w:r>
          </w:p>
        </w:tc>
        <w:tc>
          <w:tcPr>
            <w:tcW w:w="1413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225 950</w:t>
            </w:r>
          </w:p>
        </w:tc>
        <w:tc>
          <w:tcPr>
            <w:tcW w:w="1411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254 293</w:t>
            </w:r>
          </w:p>
        </w:tc>
        <w:tc>
          <w:tcPr>
            <w:tcW w:w="1275" w:type="dxa"/>
            <w:hideMark/>
          </w:tcPr>
          <w:p w:rsidR="00D70672" w:rsidRPr="00A9486B" w:rsidRDefault="00D70672" w:rsidP="00D70672">
            <w:pPr>
              <w:jc w:val="right"/>
              <w:rPr>
                <w:rFonts w:eastAsia="Times New Roman" w:cstheme="minorHAnsi"/>
                <w:color w:val="212529"/>
                <w:lang w:eastAsia="cs-CZ"/>
              </w:rPr>
            </w:pPr>
            <w:r w:rsidRPr="00A9486B">
              <w:rPr>
                <w:rFonts w:eastAsia="Times New Roman" w:cstheme="minorHAnsi"/>
                <w:color w:val="212529"/>
                <w:lang w:eastAsia="cs-CZ"/>
              </w:rPr>
              <w:t>240 545</w:t>
            </w:r>
          </w:p>
        </w:tc>
        <w:tc>
          <w:tcPr>
            <w:tcW w:w="1045" w:type="dxa"/>
          </w:tcPr>
          <w:p w:rsidR="00D70672" w:rsidRDefault="00D70672" w:rsidP="00D70672">
            <w:pPr>
              <w:jc w:val="center"/>
            </w:pPr>
            <w:r w:rsidRPr="00A36864">
              <w:t>94,59%</w:t>
            </w:r>
          </w:p>
        </w:tc>
      </w:tr>
    </w:tbl>
    <w:p w:rsidR="00CB0A6F" w:rsidRPr="00A9486B" w:rsidRDefault="00CB0A6F" w:rsidP="00B44F5A">
      <w:pPr>
        <w:pStyle w:val="Normlnweb"/>
        <w:jc w:val="both"/>
        <w:rPr>
          <w:rFonts w:asciiTheme="minorHAnsi" w:hAnsiTheme="minorHAnsi" w:cstheme="minorHAnsi"/>
          <w:b/>
        </w:rPr>
      </w:pPr>
    </w:p>
    <w:p w:rsidR="00B44F5A" w:rsidRPr="00A9486B" w:rsidRDefault="00B44F5A" w:rsidP="00B44F5A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provozních výdajů (Třída 5):</w:t>
      </w:r>
    </w:p>
    <w:tbl>
      <w:tblPr>
        <w:tblW w:w="90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276"/>
        <w:gridCol w:w="989"/>
      </w:tblGrid>
      <w:tr w:rsidR="00B44F5A" w:rsidRPr="00A9486B" w:rsidTr="00D70672">
        <w:trPr>
          <w:trHeight w:val="20"/>
        </w:trPr>
        <w:tc>
          <w:tcPr>
            <w:tcW w:w="3969" w:type="dxa"/>
            <w:vMerge w:val="restart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Položka</w:t>
            </w:r>
          </w:p>
        </w:tc>
        <w:tc>
          <w:tcPr>
            <w:tcW w:w="2835" w:type="dxa"/>
            <w:gridSpan w:val="2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 xml:space="preserve"> 2025</w:t>
            </w:r>
          </w:p>
        </w:tc>
        <w:tc>
          <w:tcPr>
            <w:tcW w:w="1276" w:type="dxa"/>
            <w:vMerge w:val="restart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Skutečnost</w:t>
            </w:r>
          </w:p>
        </w:tc>
        <w:tc>
          <w:tcPr>
            <w:tcW w:w="989" w:type="dxa"/>
            <w:vMerge w:val="restart"/>
            <w:shd w:val="clear" w:color="000000" w:fill="4472C4"/>
            <w:vAlign w:val="center"/>
            <w:hideMark/>
          </w:tcPr>
          <w:p w:rsidR="00B44F5A" w:rsidRPr="00A9486B" w:rsidRDefault="00B44F5A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Procento čerpání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1418" w:type="dxa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Schválený</w:t>
            </w:r>
          </w:p>
        </w:tc>
        <w:tc>
          <w:tcPr>
            <w:tcW w:w="1417" w:type="dxa"/>
            <w:shd w:val="clear" w:color="000000" w:fill="4472C4"/>
            <w:vAlign w:val="bottom"/>
            <w:hideMark/>
          </w:tcPr>
          <w:p w:rsidR="00B44F5A" w:rsidRPr="00A9486B" w:rsidRDefault="00B44F5A" w:rsidP="00B44F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Upravený</w:t>
            </w:r>
          </w:p>
        </w:tc>
        <w:tc>
          <w:tcPr>
            <w:tcW w:w="1276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989" w:type="dxa"/>
            <w:vMerge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4472C4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Běžné výdaje</w:t>
            </w:r>
          </w:p>
        </w:tc>
        <w:tc>
          <w:tcPr>
            <w:tcW w:w="1418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1 319 109 900,00</w:t>
            </w:r>
          </w:p>
        </w:tc>
        <w:tc>
          <w:tcPr>
            <w:tcW w:w="1417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1 483 979 800,00</w:t>
            </w:r>
          </w:p>
        </w:tc>
        <w:tc>
          <w:tcPr>
            <w:tcW w:w="1276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1 308 661 409,97</w:t>
            </w:r>
          </w:p>
        </w:tc>
        <w:tc>
          <w:tcPr>
            <w:tcW w:w="989" w:type="dxa"/>
            <w:shd w:val="clear" w:color="000000" w:fill="4472C4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88,19%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platy a obdobné a související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299 223 200,00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334 750 800,00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299 109 161,08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89,35%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Platy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208 963 500,00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235 492 600,00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213 286 678,00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90,57%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Platy zaměstnanců v pracovním poměru vyjma zaměstnanců na služebních místech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208 643 500,00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235 172 600,00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213 281 213,00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90,69%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platy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320 000,00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5 465,00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ostatní platby za provedenou práci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17 781 000,00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17 420 000,00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12 923 232,25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74,19%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osobní výdaje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5 228 000,00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4 867 000,00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3 173 905,00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členů zastupitelstev obcí a krajů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9 117 073,00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92,09%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Odstupné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436 284,00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27,27%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Odchodné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platby za provedenou práci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403 000,00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403 000,00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195 970,25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48,63%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Povinné a zákonné pojistné placené zaměstnavatelem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72 357 700,00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81 717 200,00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72 798 683,00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89,09%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Povinné pojistné na sociální zabezpečení a příspěvek na státní politiku zaměstnanosti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52 116 200,00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58 842 200,00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52 356 515,00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lastRenderedPageBreak/>
              <w:t>Povinné pojistné na veřejné zdravotní pojištění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19 461 700,00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21 919 400,00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19 551 175,00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Pojistné na zákonné pojištění odpovědnosti zaměstnavatele za škodu při pracovním úrazu nebo nemoci z povolání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772 800,00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948 600,00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888 919,00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93,71%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povinné pojistné placené zaměstnavatelem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2 074,00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29,63%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odměny za užití duševního vlastnictví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100 567,83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83,11%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za užití duševního vlastnictví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55 439,37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78,08%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Odměny za užití počítačových programů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45 128,46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90,26%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neinvestiční nákupy a související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265 738 100,00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282 962 000,00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208 918 606,81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73,83%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některé úpravy hmotných věcí a pořízení některých práv k hmotným věcem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631 000,00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503 215,99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79,75%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věcná břemena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52 037,56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52,04%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technické zhodnocení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531 000,00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451 178,43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materiálu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22 501 000,00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22 329 200,00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19 097 142,53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85,53%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Potraviny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Ochranné pomůcky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331 600,00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205 325,34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61,92%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Léky a zdravotnický materiál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13 618,00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Prádlo, oděv a obuv s výjimkou ochranných pomůcek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1 331 000,00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1 221 978,45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91,81%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Knihy a obdobné listinné informační prostředky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125 700,00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82 929,80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Drobný dlouhodobý hmotný majetek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9 164 000,00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8 747 800,00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7 318 967,11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83,67%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zboží za účelem dalšího prodeje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1 235 000,00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720 311,47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98,67%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materiálu jinde nezařazený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9 885 000,00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11 040 100,00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9 534 012,36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86,36%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Úroky a ostatní finanční výdaje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32 003 000,00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32 005 200,00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11 218 452,84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35,05%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Úroky vlastní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10 590 600,00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10 590 583,34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Kursové rozdíly ve výdajích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5 158,25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Úrokové výdaje na finanční deriváty kromě výdajů na deriváty k vlastním dluhopisům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19 409 400,00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622 711,25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úroky a ostatní finanční výdaje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vody, paliv a energie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33 345 000,00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33 431 000,00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22 716 240,28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67,95%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Studená voda včetně stočného a úplaty za odvod dešťových vod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4 317 000,00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4 379 000,00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3 672 370,94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83,86%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Teplo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9 902 000,00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10 191 000,00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8 971 075,13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88,03%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Plyn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7 395 000,00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7 014 000,00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2 672 361,17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38,10%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Elektrická energie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9 261 000,00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9 296 000,00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5 263 017,34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56,62%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Pohonné hmoty a maziva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2 470 000,00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2 551 000,00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2 137 415,70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83,79%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nákup služeb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113 415 100,00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124 802 700,00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94 415 271,91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75,65%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Poštovní služby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3 648 000,00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3 678 000,00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3 344 514,83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90,93%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elektronických komunikací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1 574 000,00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1 649 400,00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1 458 754,44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88,44%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peněžních ústavů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8 961 000,00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8 978 800,00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6 960 073,09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77,52%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Nájemné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1 925 000,00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1 940 000,00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1 472 216,96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75,89%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 xml:space="preserve">Zemědělské </w:t>
            </w:r>
            <w:proofErr w:type="spellStart"/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pachtovné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192 518,84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89,54%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Konzultační, poradenské a právní služby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6 599 000,00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3 333 000,00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2 071 043,35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62,14%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Služby školení a vzdělávání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2 187 000,00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3 155 000,00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2 419 399,73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76,68%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Zpracování dat a služby související s informačními a komunikačními technologiemi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17 299 000,00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15 771 000,00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13 645 051,40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Nákup ostatních služeb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71 052 100,00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86 082 500,00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62 851 699,27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73,01%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ostatní nákupy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58 601 000,00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64 058 400,00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57 842 728,84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90,30%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Opravy a udržování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55 136 000,00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60 151 600,00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55 410 049,81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92,12%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Podlimitní programové vybavení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991 000,00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991 000,00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200 440,22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20,23%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Cestovné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527 000,00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421 263,73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79,94%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Pohoštění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1 037 000,00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1 174 800,00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883 710,10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75,22%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Účastnické úplaty na konference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66 000,00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39 695,00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60,14%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Nájemné za nájem s právem koupě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358 000,00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295 688,67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60,47%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nákupy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659 000,00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659 000,00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591 881,31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89,82%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související s neinvestičními nákupy, příspěvky, náhrady a výdaje na věcné dary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5 173 000,00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5 704 500,00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3 125 554,42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54,79%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Zaplacené sankce a odstupné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1 123 000,00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1 121 593,74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99,87%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Poskytnuté náhrady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4 150 000,00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3 388 500,00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939 276,70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27,72%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na věcné dary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923 000,00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895 531,98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90,18%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Odvody za neplnění povinnosti zaměstnávat zdravotně postižené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169 152,00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84,58%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soukromoprávním osobám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253 770 100,00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269 005 100,00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263 017 180,27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97,77%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podnikatelům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204 470 100,00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230 636 200,00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224 744 780,27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97,45%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nefinančním podnikatelům -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1 493 000,00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1 289 858,00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86,39%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nefinančním podnikatelům - právnickým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204 470 100,00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229 143 200,00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223 454 922,27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97,52%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neziskovým a podobným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49 300 000,00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38 368 900,00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38 272 400,00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99,75%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lastRenderedPageBreak/>
              <w:t>Neinvestiční transfery fundacím, ústavům a obecně prospěšným společnostem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1 146 800,00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1 146 800,00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spolkům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48 500 000,00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36 148 500,00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36 148 500,00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církvím a náboženským společnostem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677 100,00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677 100,00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neziskovým a podobným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396 500,00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300 000,00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75,66%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veřejnoprávním osobám a mezi peněžními fondy téže osoby a platby daní</w:t>
            </w:r>
          </w:p>
        </w:tc>
        <w:tc>
          <w:tcPr>
            <w:tcW w:w="1418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447 705 100,00</w:t>
            </w:r>
          </w:p>
        </w:tc>
        <w:tc>
          <w:tcPr>
            <w:tcW w:w="1417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543 353 200,00</w:t>
            </w:r>
          </w:p>
        </w:tc>
        <w:tc>
          <w:tcPr>
            <w:tcW w:w="1276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528 574 724,00</w:t>
            </w:r>
          </w:p>
        </w:tc>
        <w:tc>
          <w:tcPr>
            <w:tcW w:w="989" w:type="dxa"/>
            <w:shd w:val="clear" w:color="auto" w:fill="B4C6E7" w:themeFill="accent5" w:themeFillTint="66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97,28%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rozpočtům územní úrovně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10 250 000,00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10 250 000,00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218 340,00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2,13%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krajům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rozpočtům územní úrovně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218 340,00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87,34%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příspěvkovým a podobným organizacím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398 220 100,00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490 547 000,00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490 513 139,64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99,99%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příspěvky zřízeným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392 186 500,00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392 903 400,00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392 903 042,15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zřízeným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6 033 600,00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97 510 500,00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97 476 997,49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99,97%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transfery cizím příspěvkovým organizacím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133 100,00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133 100,00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převody vlastním fondům a ve vztahu k útvarům bez právní osobnosti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60 000,00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75,00%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na účty nemající povahu veřejných rozpočtů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75,00%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transfery jiným rozpočtům a platby daní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39 155 000,00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42 476 200,00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37 783 244,36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88,95%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Platby daní státnímu rozpočtu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10 425 000,00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10 315 000,00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6 156 294,95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59,68%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Úhrady sankcí jiným rozpočtům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35,71%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Vratky transferů poskytnutých z veřejných rozpočtů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2 135 600,00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2 135 214,63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Platby daní krajům, obcím a státním fondům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28 000 000,00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29 279 600,00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28 754 880,00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98,21%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z finančního vypořádání mezi krajem a obcemi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732 000,00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731 854,78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99,98%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transfery a některé náhrady fyzickým osobám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9 188 000,00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10 320 600,00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9 017 673,35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87,38%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transfery fyzickým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9 188 000,00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10 320 600,00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9 017 673,35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87,38%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Dary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510 000,00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445 000,00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87,25%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Účelové neinvestiční transfery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870 800,00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866 986,57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99,56%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transfery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8 938 000,00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8 939 800,00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7 705 686,78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86,20%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půjčené prostředky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Neinvestiční půjčené prostředky fyzickým osobám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Neinvestiční půjčené prostředky fyzickým osobám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90 000,00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náhrady za nezpůsobenou újmu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Výdaje na náhrady za nezpůsobenou újmu a výdaje na náhrady škod způsobených nezákonným rozhodnutím nebo nesprávným úředním postupem při výkonu veřejné moci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Výdaje na náhrady za nezpůsobenou újmu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-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B4C6E7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výdaje</w:t>
            </w:r>
          </w:p>
        </w:tc>
        <w:tc>
          <w:tcPr>
            <w:tcW w:w="1418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42 795 400,00</w:t>
            </w:r>
          </w:p>
        </w:tc>
        <w:tc>
          <w:tcPr>
            <w:tcW w:w="1417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43 498 100,00</w:t>
            </w:r>
          </w:p>
        </w:tc>
        <w:tc>
          <w:tcPr>
            <w:tcW w:w="1276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24 064,46</w:t>
            </w:r>
          </w:p>
        </w:tc>
        <w:tc>
          <w:tcPr>
            <w:tcW w:w="989" w:type="dxa"/>
            <w:shd w:val="clear" w:color="000000" w:fill="B4C6E7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000000" w:fill="D9E1F2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Ostatní neinvestiční výdaje</w:t>
            </w:r>
          </w:p>
        </w:tc>
        <w:tc>
          <w:tcPr>
            <w:tcW w:w="1418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42 795 400,00</w:t>
            </w:r>
          </w:p>
        </w:tc>
        <w:tc>
          <w:tcPr>
            <w:tcW w:w="1417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43 498 100,00</w:t>
            </w:r>
          </w:p>
        </w:tc>
        <w:tc>
          <w:tcPr>
            <w:tcW w:w="1276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24 064,46</w:t>
            </w:r>
          </w:p>
        </w:tc>
        <w:tc>
          <w:tcPr>
            <w:tcW w:w="989" w:type="dxa"/>
            <w:shd w:val="clear" w:color="000000" w:fill="D9E1F2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0,06%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Nespecifikované rezervy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42 245 400,00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42 044 900,00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Rezerva na krizová opatření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1 393 200,00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Převody domněle neoprávněně použitých dotací zpět poskytovateli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10 000,00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B44F5A" w:rsidRPr="00A9486B" w:rsidTr="00D70672">
        <w:trPr>
          <w:trHeight w:val="20"/>
        </w:trPr>
        <w:tc>
          <w:tcPr>
            <w:tcW w:w="3969" w:type="dxa"/>
            <w:shd w:val="clear" w:color="auto" w:fill="auto"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Ostatní neinvestiční výdaje jinde nezařazené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14 064,46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B44F5A" w:rsidRPr="00A9486B" w:rsidRDefault="00B44F5A" w:rsidP="00B44F5A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A9486B">
              <w:rPr>
                <w:rFonts w:eastAsia="Times New Roman" w:cstheme="minorHAnsi"/>
                <w:sz w:val="16"/>
                <w:szCs w:val="16"/>
                <w:lang w:eastAsia="cs-CZ"/>
              </w:rPr>
              <w:t>28,13%</w:t>
            </w:r>
          </w:p>
        </w:tc>
      </w:tr>
    </w:tbl>
    <w:p w:rsidR="00B44F5A" w:rsidRPr="00A9486B" w:rsidRDefault="00B44F5A">
      <w:pPr>
        <w:rPr>
          <w:rFonts w:cstheme="minorHAnsi"/>
        </w:rPr>
      </w:pPr>
    </w:p>
    <w:p w:rsidR="00CB0A6F" w:rsidRPr="00A9486B" w:rsidRDefault="00CB0A6F" w:rsidP="00CB0A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Běžné výdaje města byly v roce 2025 čerpány ve výši 1 308,7 mil. Kč, což představuje 88,2 % upraveného rozpočtu. Nevyčerpání činí přibližně 175 mil. Kč a představuje hlavní faktor celkového nižšího čerpání výdajů.</w:t>
      </w:r>
    </w:p>
    <w:p w:rsidR="00CB0A6F" w:rsidRPr="00A9486B" w:rsidRDefault="00CB0A6F" w:rsidP="00CB0A6F">
      <w:pPr>
        <w:pStyle w:val="Normlnweb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Nižší čerpání bylo patrné napříč více oblastmi, přičemž nejvýznamnější úspory vznikly zejména u neinvestičních nákupů, energií a finančních výdajů. Naopak mandatorní výdaje (platy, pojistné, transfery příspěvkovým organizacím) byly realizovány stabilně a v souladu s rozpočtem.</w:t>
      </w:r>
    </w:p>
    <w:p w:rsidR="00D70672" w:rsidRDefault="00D70672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</w:p>
    <w:p w:rsidR="00CB0A6F" w:rsidRPr="00A9486B" w:rsidRDefault="00CB0A6F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  <w:r w:rsidRPr="00A9486B">
        <w:rPr>
          <w:rFonts w:asciiTheme="minorHAnsi" w:hAnsiTheme="minorHAnsi" w:cstheme="minorHAnsi"/>
          <w:sz w:val="24"/>
          <w:szCs w:val="24"/>
        </w:rPr>
        <w:lastRenderedPageBreak/>
        <w:t>Nejvýznamnější provozní úspory</w:t>
      </w:r>
    </w:p>
    <w:p w:rsidR="00CB0A6F" w:rsidRPr="00A9486B" w:rsidRDefault="00CB0A6F" w:rsidP="006A78A5">
      <w:pPr>
        <w:pStyle w:val="Nadpis3"/>
        <w:numPr>
          <w:ilvl w:val="0"/>
          <w:numId w:val="9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Neinvestiční nákupy a služby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pouze </w:t>
      </w:r>
      <w:r w:rsidRPr="00A9486B">
        <w:rPr>
          <w:rStyle w:val="Siln"/>
          <w:rFonts w:asciiTheme="minorHAnsi" w:hAnsiTheme="minorHAnsi" w:cstheme="minorHAnsi"/>
          <w:color w:val="auto"/>
        </w:rPr>
        <w:t>73,8 %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74 mil. Kč</w:t>
      </w:r>
    </w:p>
    <w:p w:rsidR="006A78A5" w:rsidRPr="00A9486B" w:rsidRDefault="00CB0A6F" w:rsidP="004B317C">
      <w:pPr>
        <w:pStyle w:val="Normlnweb"/>
        <w:numPr>
          <w:ilvl w:val="1"/>
          <w:numId w:val="2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zejména: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nákup služeb (73 %)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ostatní služby a provozní výdaje</w:t>
      </w:r>
      <w:r w:rsidR="006A78A5" w:rsidRPr="00A9486B">
        <w:rPr>
          <w:rFonts w:asciiTheme="minorHAnsi" w:hAnsiTheme="minorHAnsi" w:cstheme="minorHAnsi"/>
        </w:rPr>
        <w:t>, nižší realizace plánovaných aktivit a úspory v provozu</w:t>
      </w:r>
    </w:p>
    <w:p w:rsidR="00CB0A6F" w:rsidRPr="00A9486B" w:rsidRDefault="00CB0A6F" w:rsidP="008F6902">
      <w:pPr>
        <w:pStyle w:val="Normlnweb"/>
        <w:numPr>
          <w:ilvl w:val="0"/>
          <w:numId w:val="3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Energie</w:t>
      </w:r>
      <w:r w:rsidR="006A78A5" w:rsidRPr="00A9486B">
        <w:rPr>
          <w:rFonts w:asciiTheme="minorHAnsi" w:hAnsiTheme="minorHAnsi" w:cstheme="minorHAnsi"/>
        </w:rPr>
        <w:t xml:space="preserve">: </w:t>
      </w:r>
      <w:r w:rsidRPr="00A9486B">
        <w:rPr>
          <w:rFonts w:asciiTheme="minorHAnsi" w:hAnsiTheme="minorHAnsi" w:cstheme="minorHAnsi"/>
        </w:rPr>
        <w:t xml:space="preserve">plnění cca </w:t>
      </w:r>
      <w:r w:rsidRPr="00A9486B">
        <w:rPr>
          <w:rStyle w:val="Siln"/>
          <w:rFonts w:asciiTheme="minorHAnsi" w:eastAsiaTheme="majorEastAsia" w:hAnsiTheme="minorHAnsi" w:cstheme="minorHAnsi"/>
        </w:rPr>
        <w:t>68 %</w:t>
      </w:r>
      <w:r w:rsidR="006A78A5" w:rsidRPr="00A9486B">
        <w:rPr>
          <w:rStyle w:val="Siln"/>
          <w:rFonts w:asciiTheme="minorHAnsi" w:eastAsiaTheme="majorEastAsia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 xml:space="preserve">úspora cca </w:t>
      </w:r>
      <w:r w:rsidRPr="00A9486B">
        <w:rPr>
          <w:rStyle w:val="Siln"/>
          <w:rFonts w:asciiTheme="minorHAnsi" w:eastAsiaTheme="majorEastAsia" w:hAnsiTheme="minorHAnsi" w:cstheme="minorHAnsi"/>
        </w:rPr>
        <w:t>10,7 mil. Kč</w:t>
      </w:r>
    </w:p>
    <w:p w:rsidR="00CB0A6F" w:rsidRPr="00A9486B" w:rsidRDefault="00CB0A6F" w:rsidP="00975922">
      <w:pPr>
        <w:pStyle w:val="Normlnweb"/>
        <w:numPr>
          <w:ilvl w:val="1"/>
          <w:numId w:val="3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výrazně nižší čerpání: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plyn (38 %)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elektrická energie (57 %)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vliv cenového vývoje a úsporných opatření</w:t>
      </w:r>
    </w:p>
    <w:p w:rsidR="00CB0A6F" w:rsidRPr="00A9486B" w:rsidRDefault="00CB0A6F" w:rsidP="006A78A5">
      <w:pPr>
        <w:pStyle w:val="Nadpis3"/>
        <w:numPr>
          <w:ilvl w:val="0"/>
          <w:numId w:val="3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Finanční výdaje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pouze </w:t>
      </w:r>
      <w:r w:rsidRPr="00A9486B">
        <w:rPr>
          <w:rStyle w:val="Siln"/>
          <w:rFonts w:asciiTheme="minorHAnsi" w:hAnsiTheme="minorHAnsi" w:cstheme="minorHAnsi"/>
          <w:color w:val="auto"/>
        </w:rPr>
        <w:t>35 %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20,8 mil. Kč</w:t>
      </w:r>
    </w:p>
    <w:p w:rsidR="00CB0A6F" w:rsidRPr="00A9486B" w:rsidRDefault="00CB0A6F" w:rsidP="00DF4076">
      <w:pPr>
        <w:pStyle w:val="Normlnweb"/>
        <w:numPr>
          <w:ilvl w:val="1"/>
          <w:numId w:val="4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nerealizované nebo nižší náklady na finanční deriváty (3 %)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významná jednorázová úspora</w:t>
      </w:r>
    </w:p>
    <w:p w:rsidR="00CB0A6F" w:rsidRPr="00A9486B" w:rsidRDefault="00CB0A6F" w:rsidP="006A78A5">
      <w:pPr>
        <w:pStyle w:val="Nadpis3"/>
        <w:numPr>
          <w:ilvl w:val="0"/>
          <w:numId w:val="4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Ostatní nedaňové výdaje / rezervy</w:t>
      </w:r>
      <w:r w:rsidR="006A78A5" w:rsidRPr="00A9486B">
        <w:rPr>
          <w:rFonts w:asciiTheme="minorHAnsi" w:hAnsiTheme="minorHAnsi" w:cstheme="minorHAnsi"/>
          <w:color w:val="auto"/>
        </w:rPr>
        <w:t>: nevyčerpaný zůstatek rezervy</w:t>
      </w:r>
      <w:r w:rsidRPr="00A9486B">
        <w:rPr>
          <w:rFonts w:asciiTheme="minorHAnsi" w:hAnsiTheme="minorHAnsi" w:cstheme="minorHAnsi"/>
          <w:color w:val="auto"/>
        </w:rPr>
        <w:t xml:space="preserve"> </w:t>
      </w:r>
      <w:r w:rsidR="006A78A5" w:rsidRPr="00A9486B">
        <w:rPr>
          <w:rFonts w:asciiTheme="minorHAnsi" w:hAnsiTheme="minorHAnsi" w:cstheme="minorHAnsi"/>
          <w:color w:val="auto"/>
        </w:rPr>
        <w:t>42 mil. Kč</w:t>
      </w:r>
    </w:p>
    <w:p w:rsidR="00CB0A6F" w:rsidRPr="00A9486B" w:rsidRDefault="00CB0A6F" w:rsidP="006A78A5">
      <w:pPr>
        <w:pStyle w:val="Nadpis3"/>
        <w:numPr>
          <w:ilvl w:val="0"/>
          <w:numId w:val="4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</w:rPr>
      </w:pPr>
      <w:r w:rsidRPr="00A9486B">
        <w:rPr>
          <w:rFonts w:asciiTheme="minorHAnsi" w:hAnsiTheme="minorHAnsi" w:cstheme="minorHAnsi"/>
          <w:color w:val="auto"/>
        </w:rPr>
        <w:t>Osobní výdaje</w:t>
      </w:r>
      <w:r w:rsidR="006A78A5" w:rsidRPr="00A9486B">
        <w:rPr>
          <w:rFonts w:asciiTheme="minorHAnsi" w:hAnsiTheme="minorHAnsi" w:cstheme="minorHAnsi"/>
          <w:color w:val="auto"/>
        </w:rPr>
        <w:t xml:space="preserve">: </w:t>
      </w:r>
      <w:r w:rsidRPr="00A9486B">
        <w:rPr>
          <w:rFonts w:asciiTheme="minorHAnsi" w:hAnsiTheme="minorHAnsi" w:cstheme="minorHAnsi"/>
          <w:color w:val="auto"/>
        </w:rPr>
        <w:t xml:space="preserve">plnění cca </w:t>
      </w:r>
      <w:r w:rsidRPr="00A9486B">
        <w:rPr>
          <w:rStyle w:val="Siln"/>
          <w:rFonts w:asciiTheme="minorHAnsi" w:hAnsiTheme="minorHAnsi" w:cstheme="minorHAnsi"/>
          <w:color w:val="auto"/>
        </w:rPr>
        <w:t>89 %</w:t>
      </w:r>
      <w:r w:rsidR="006A78A5" w:rsidRPr="00A9486B">
        <w:rPr>
          <w:rStyle w:val="Siln"/>
          <w:rFonts w:asciiTheme="minorHAnsi" w:hAnsiTheme="minorHAnsi" w:cstheme="minorHAnsi"/>
          <w:color w:val="auto"/>
        </w:rPr>
        <w:t xml:space="preserve">, </w:t>
      </w:r>
      <w:r w:rsidRPr="00A9486B">
        <w:rPr>
          <w:rFonts w:asciiTheme="minorHAnsi" w:hAnsiTheme="minorHAnsi" w:cstheme="minorHAnsi"/>
          <w:color w:val="auto"/>
        </w:rPr>
        <w:t xml:space="preserve">úspora cca </w:t>
      </w:r>
      <w:r w:rsidRPr="00A9486B">
        <w:rPr>
          <w:rStyle w:val="Siln"/>
          <w:rFonts w:asciiTheme="minorHAnsi" w:hAnsiTheme="minorHAnsi" w:cstheme="minorHAnsi"/>
          <w:color w:val="auto"/>
        </w:rPr>
        <w:t>35 mil. Kč</w:t>
      </w:r>
    </w:p>
    <w:p w:rsidR="00CB0A6F" w:rsidRPr="00A9486B" w:rsidRDefault="00CB0A6F" w:rsidP="00982FE6">
      <w:pPr>
        <w:pStyle w:val="Normlnweb"/>
        <w:numPr>
          <w:ilvl w:val="1"/>
          <w:numId w:val="6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zejména:</w:t>
      </w:r>
      <w:r w:rsidR="006A78A5" w:rsidRPr="00A9486B">
        <w:rPr>
          <w:rFonts w:asciiTheme="minorHAnsi" w:hAnsiTheme="minorHAnsi" w:cstheme="minorHAnsi"/>
        </w:rPr>
        <w:t xml:space="preserve"> </w:t>
      </w:r>
      <w:r w:rsidRPr="00A9486B">
        <w:rPr>
          <w:rFonts w:asciiTheme="minorHAnsi" w:hAnsiTheme="minorHAnsi" w:cstheme="minorHAnsi"/>
        </w:rPr>
        <w:t>ostatní osobní výdaje (65 %)</w:t>
      </w:r>
      <w:r w:rsidR="006A78A5" w:rsidRPr="00A9486B">
        <w:rPr>
          <w:rFonts w:asciiTheme="minorHAnsi" w:hAnsiTheme="minorHAnsi" w:cstheme="minorHAnsi"/>
        </w:rPr>
        <w:t xml:space="preserve">, </w:t>
      </w:r>
      <w:r w:rsidRPr="00A9486B">
        <w:rPr>
          <w:rFonts w:asciiTheme="minorHAnsi" w:hAnsiTheme="minorHAnsi" w:cstheme="minorHAnsi"/>
        </w:rPr>
        <w:t>dohody a odměny (74 %)</w:t>
      </w:r>
      <w:r w:rsidR="006A78A5" w:rsidRPr="00A9486B">
        <w:rPr>
          <w:rFonts w:asciiTheme="minorHAnsi" w:hAnsiTheme="minorHAnsi" w:cstheme="minorHAnsi"/>
        </w:rPr>
        <w:t>, rozpočtována valorizace mezd, avšak vláda nevydala nařízení</w:t>
      </w:r>
    </w:p>
    <w:p w:rsidR="00CB0A6F" w:rsidRPr="00A9486B" w:rsidRDefault="00CB0A6F" w:rsidP="00CB0A6F">
      <w:pPr>
        <w:pStyle w:val="Nadpis2"/>
        <w:spacing w:before="0" w:beforeAutospacing="0" w:after="120" w:afterAutospacing="0"/>
        <w:jc w:val="both"/>
        <w:rPr>
          <w:rFonts w:asciiTheme="minorHAnsi" w:hAnsiTheme="minorHAnsi" w:cstheme="minorHAnsi"/>
          <w:sz w:val="24"/>
          <w:szCs w:val="24"/>
        </w:rPr>
      </w:pPr>
      <w:r w:rsidRPr="00A9486B">
        <w:rPr>
          <w:rFonts w:asciiTheme="minorHAnsi" w:hAnsiTheme="minorHAnsi" w:cstheme="minorHAnsi"/>
          <w:sz w:val="24"/>
          <w:szCs w:val="24"/>
        </w:rPr>
        <w:t>Celkové hodnocení</w:t>
      </w:r>
    </w:p>
    <w:p w:rsidR="00CB0A6F" w:rsidRPr="00A9486B" w:rsidRDefault="00CB0A6F" w:rsidP="00CB0A6F">
      <w:pPr>
        <w:pStyle w:val="Normln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 xml:space="preserve">Běžné výdaje byly realizovány úsporně a bez překračování rozpočtu. Významné nečerpání vzniklo především u provozních výdajů, energií a finančních operací. Část úspor je výsledkem pozitivního vývoje (např. ceny energií), část však souvisí s </w:t>
      </w:r>
      <w:proofErr w:type="spellStart"/>
      <w:r w:rsidRPr="00A9486B">
        <w:rPr>
          <w:rFonts w:asciiTheme="minorHAnsi" w:hAnsiTheme="minorHAnsi" w:cstheme="minorHAnsi"/>
        </w:rPr>
        <w:t>nerealizací</w:t>
      </w:r>
      <w:proofErr w:type="spellEnd"/>
      <w:r w:rsidRPr="00A9486B">
        <w:rPr>
          <w:rFonts w:asciiTheme="minorHAnsi" w:hAnsiTheme="minorHAnsi" w:cstheme="minorHAnsi"/>
        </w:rPr>
        <w:t xml:space="preserve"> plánovaných výdajů.</w:t>
      </w:r>
    </w:p>
    <w:p w:rsidR="00CB0A6F" w:rsidRPr="00A9486B" w:rsidRDefault="00CB0A6F" w:rsidP="00CB0A6F">
      <w:pPr>
        <w:pStyle w:val="Normlnweb"/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Struktura čerpání současně ukazuje na:</w:t>
      </w:r>
    </w:p>
    <w:p w:rsidR="00CB0A6F" w:rsidRPr="00A9486B" w:rsidRDefault="00CB0A6F" w:rsidP="00CB0A6F">
      <w:pPr>
        <w:pStyle w:val="Normlnweb"/>
        <w:numPr>
          <w:ilvl w:val="0"/>
          <w:numId w:val="7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částečné nadhodnocení některých rozpočtových položek,</w:t>
      </w:r>
    </w:p>
    <w:p w:rsidR="00CB0A6F" w:rsidRPr="00A9486B" w:rsidRDefault="00CB0A6F" w:rsidP="00CB0A6F">
      <w:pPr>
        <w:pStyle w:val="Normlnweb"/>
        <w:numPr>
          <w:ilvl w:val="0"/>
          <w:numId w:val="7"/>
        </w:numPr>
        <w:spacing w:before="0" w:beforeAutospacing="0" w:after="120" w:afterAutospacing="0"/>
        <w:jc w:val="both"/>
        <w:rPr>
          <w:rFonts w:asciiTheme="minorHAnsi" w:hAnsiTheme="minorHAnsi" w:cstheme="minorHAnsi"/>
        </w:rPr>
      </w:pPr>
      <w:r w:rsidRPr="00A9486B">
        <w:rPr>
          <w:rFonts w:asciiTheme="minorHAnsi" w:hAnsiTheme="minorHAnsi" w:cstheme="minorHAnsi"/>
        </w:rPr>
        <w:t>a prostor pro zpřesnění plánování a řízení výdajů v průběhu roku.</w:t>
      </w:r>
    </w:p>
    <w:p w:rsidR="00CB0A6F" w:rsidRDefault="00CB0A6F" w:rsidP="00CB0A6F">
      <w:pPr>
        <w:spacing w:after="120" w:line="240" w:lineRule="auto"/>
        <w:rPr>
          <w:rFonts w:cstheme="minorHAnsi"/>
        </w:rPr>
      </w:pPr>
    </w:p>
    <w:p w:rsidR="00D70672" w:rsidRPr="00A9486B" w:rsidRDefault="00D70672" w:rsidP="00CB0A6F">
      <w:pPr>
        <w:spacing w:after="120" w:line="240" w:lineRule="auto"/>
        <w:rPr>
          <w:rFonts w:cstheme="minorHAnsi"/>
        </w:rPr>
      </w:pPr>
    </w:p>
    <w:p w:rsidR="006A78A5" w:rsidRPr="00A9486B" w:rsidRDefault="006A78A5" w:rsidP="006A78A5">
      <w:pPr>
        <w:pStyle w:val="Normlnweb"/>
        <w:jc w:val="both"/>
        <w:rPr>
          <w:rFonts w:asciiTheme="minorHAnsi" w:hAnsiTheme="minorHAnsi" w:cstheme="minorHAnsi"/>
          <w:b/>
        </w:rPr>
      </w:pPr>
      <w:r w:rsidRPr="00A9486B">
        <w:rPr>
          <w:rFonts w:asciiTheme="minorHAnsi" w:hAnsiTheme="minorHAnsi" w:cstheme="minorHAnsi"/>
          <w:b/>
        </w:rPr>
        <w:t>Vyhodnocení kapitálových výdajů (Třída 6):</w:t>
      </w:r>
    </w:p>
    <w:tbl>
      <w:tblPr>
        <w:tblW w:w="9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2"/>
        <w:gridCol w:w="1425"/>
        <w:gridCol w:w="1513"/>
        <w:gridCol w:w="1381"/>
        <w:gridCol w:w="733"/>
      </w:tblGrid>
      <w:tr w:rsidR="006A78A5" w:rsidRPr="006A78A5" w:rsidTr="00A9486B">
        <w:trPr>
          <w:trHeight w:val="20"/>
        </w:trPr>
        <w:tc>
          <w:tcPr>
            <w:tcW w:w="4200" w:type="dxa"/>
            <w:vMerge w:val="restart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Položka</w:t>
            </w:r>
          </w:p>
        </w:tc>
        <w:tc>
          <w:tcPr>
            <w:tcW w:w="3025" w:type="dxa"/>
            <w:gridSpan w:val="2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Rozpočet</w:t>
            </w:r>
            <w:r w:rsidR="00A9486B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 xml:space="preserve"> 2025</w:t>
            </w:r>
          </w:p>
        </w:tc>
        <w:tc>
          <w:tcPr>
            <w:tcW w:w="1414" w:type="dxa"/>
            <w:vMerge w:val="restart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Skutečnost</w:t>
            </w:r>
          </w:p>
        </w:tc>
        <w:tc>
          <w:tcPr>
            <w:tcW w:w="425" w:type="dxa"/>
            <w:vMerge w:val="restart"/>
            <w:shd w:val="clear" w:color="000000" w:fill="4472C4"/>
            <w:vAlign w:val="center"/>
            <w:hideMark/>
          </w:tcPr>
          <w:p w:rsidR="006A78A5" w:rsidRPr="006A78A5" w:rsidRDefault="006A78A5" w:rsidP="00A9486B">
            <w:pPr>
              <w:spacing w:after="0" w:line="240" w:lineRule="auto"/>
              <w:jc w:val="center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Procento čerpání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1465" w:type="dxa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Schválený</w:t>
            </w:r>
          </w:p>
        </w:tc>
        <w:tc>
          <w:tcPr>
            <w:tcW w:w="1560" w:type="dxa"/>
            <w:shd w:val="clear" w:color="000000" w:fill="4472C4"/>
            <w:vAlign w:val="bottom"/>
            <w:hideMark/>
          </w:tcPr>
          <w:p w:rsidR="006A78A5" w:rsidRPr="006A78A5" w:rsidRDefault="006A78A5" w:rsidP="006A78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  <w:t>Upravený</w:t>
            </w:r>
          </w:p>
        </w:tc>
        <w:tc>
          <w:tcPr>
            <w:tcW w:w="1414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sz w:val="16"/>
                <w:szCs w:val="16"/>
                <w:lang w:eastAsia="cs-CZ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Kapitálové výdaje</w:t>
            </w:r>
          </w:p>
        </w:tc>
        <w:tc>
          <w:tcPr>
            <w:tcW w:w="1465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225 950 000,00</w:t>
            </w:r>
          </w:p>
        </w:tc>
        <w:tc>
          <w:tcPr>
            <w:tcW w:w="1560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254 293 000,00</w:t>
            </w:r>
          </w:p>
        </w:tc>
        <w:tc>
          <w:tcPr>
            <w:tcW w:w="1414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240 544 770,40</w:t>
            </w:r>
          </w:p>
        </w:tc>
        <w:tc>
          <w:tcPr>
            <w:tcW w:w="425" w:type="dxa"/>
            <w:shd w:val="clear" w:color="000000" w:fill="4472C4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color w:val="FFFFFF"/>
                <w:sz w:val="16"/>
                <w:szCs w:val="16"/>
                <w:lang w:eastAsia="cs-CZ"/>
              </w:rPr>
              <w:t>94,59%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nákupy a související výdaje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223 850 000,00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228 935 500,00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216 586 769,00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94,61%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Pořízení dlouhodobého nehmotného majetku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2 530 000,00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2 930 000,00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1 976 228,00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67,45%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Programové vybavení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1 930 000,00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1 930 000,00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976 228,00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50,58%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Ostatní nákup dlouhodobého nehmotného majetku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600 000,00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1 000 000,00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1 000 000,00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Pořízení dlouhodobého hmotného majetku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210 240 000,00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215 108 500,00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206 561 570,00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96,03%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Stavby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197 350 000,00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202 889 100,00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198 026 347,64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97,60%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Stroje, přístroje a zařízení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2 840 000,00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3 181 400,00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3 134 517,75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98,53%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Dopravní prostředky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4 500 000,00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4 638 000,00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3 470 094,00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74,82%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Informační a komunikační technologie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5 550 000,00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4 350 000,00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1 880 610,61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43,23%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Kulturní předměty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50 000,00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Pozemky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11 000 000,00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10 817 000,00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8 048 971,00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74,41%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Pozemky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11 000 000,00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10 817 000,00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8 048 971,00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74,41%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Nadlimitní věcná břemena a právo stavby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Nadlimitní věcná břemena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80 000,00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Nákup majetkových podílů a nároků a vklady do fundací a ústavů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91,91%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Nákup majetkových podílů a nároků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91,91%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Nákup majetkových podílů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1 236 600,00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1 136 540,00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91,91%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transfery</w:t>
            </w:r>
          </w:p>
        </w:tc>
        <w:tc>
          <w:tcPr>
            <w:tcW w:w="146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24 120 900,00</w:t>
            </w:r>
          </w:p>
        </w:tc>
        <w:tc>
          <w:tcPr>
            <w:tcW w:w="1414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22 821 461,40</w:t>
            </w:r>
          </w:p>
        </w:tc>
        <w:tc>
          <w:tcPr>
            <w:tcW w:w="425" w:type="dxa"/>
            <w:shd w:val="clear" w:color="000000" w:fill="B4C6E7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94,61%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lastRenderedPageBreak/>
              <w:t>Investiční transfery podnikatelům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10 118 300,00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8 819 548,20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87,16%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Investiční transfery nefinančním podnikatelům - právnickým osobám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10 118 300,00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8 819 548,20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87,16%</w:t>
            </w:r>
          </w:p>
        </w:tc>
      </w:tr>
      <w:tr w:rsidR="00A9486B" w:rsidRPr="00A9486B" w:rsidTr="00A9486B">
        <w:trPr>
          <w:trHeight w:val="20"/>
        </w:trPr>
        <w:tc>
          <w:tcPr>
            <w:tcW w:w="420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Investiční transfery příspěvkovým a podobným organizacím</w:t>
            </w:r>
          </w:p>
        </w:tc>
        <w:tc>
          <w:tcPr>
            <w:tcW w:w="146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14 002 600,00</w:t>
            </w:r>
          </w:p>
        </w:tc>
        <w:tc>
          <w:tcPr>
            <w:tcW w:w="1414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14 001 913,20</w:t>
            </w:r>
          </w:p>
        </w:tc>
        <w:tc>
          <w:tcPr>
            <w:tcW w:w="425" w:type="dxa"/>
            <w:shd w:val="clear" w:color="000000" w:fill="D9E1F2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b/>
                <w:bCs/>
                <w:sz w:val="16"/>
                <w:szCs w:val="16"/>
                <w:lang w:eastAsia="cs-CZ"/>
              </w:rPr>
              <w:t>100,00%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Investiční transfery zřízeným příspěvkovým organizacím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2 000 000,00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12 717 400,00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12 716 713,20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99,99%</w:t>
            </w:r>
          </w:p>
        </w:tc>
      </w:tr>
      <w:tr w:rsidR="006A78A5" w:rsidRPr="006A78A5" w:rsidTr="00A9486B">
        <w:trPr>
          <w:trHeight w:val="20"/>
        </w:trPr>
        <w:tc>
          <w:tcPr>
            <w:tcW w:w="420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Jiné investiční transfery zřízeným příspěvkovým organizacím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1 285 200,00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1 285 200,00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A78A5" w:rsidRPr="006A78A5" w:rsidRDefault="006A78A5" w:rsidP="006A78A5">
            <w:pPr>
              <w:spacing w:after="0" w:line="240" w:lineRule="auto"/>
              <w:jc w:val="right"/>
              <w:rPr>
                <w:rFonts w:eastAsia="Times New Roman" w:cstheme="minorHAnsi"/>
                <w:sz w:val="16"/>
                <w:szCs w:val="16"/>
                <w:lang w:eastAsia="cs-CZ"/>
              </w:rPr>
            </w:pPr>
            <w:r w:rsidRPr="006A78A5">
              <w:rPr>
                <w:rFonts w:eastAsia="Times New Roman" w:cstheme="minorHAnsi"/>
                <w:sz w:val="16"/>
                <w:szCs w:val="16"/>
                <w:lang w:eastAsia="cs-CZ"/>
              </w:rPr>
              <w:t>100,00%</w:t>
            </w:r>
          </w:p>
        </w:tc>
      </w:tr>
    </w:tbl>
    <w:p w:rsidR="006A78A5" w:rsidRPr="00A9486B" w:rsidRDefault="006A78A5" w:rsidP="00CB0A6F">
      <w:pPr>
        <w:spacing w:after="120" w:line="240" w:lineRule="auto"/>
        <w:rPr>
          <w:rFonts w:cstheme="minorHAnsi"/>
        </w:rPr>
      </w:pP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Kapitálové výdaje města v roce 2025 dosáhly 94,6 % upraveného rozpočtu, což představuje čerpání ve výši 240,5 mil. Kč při rozpočtu 254,3 mil. Kč. Nevyčerpání prostředků činí cca 13,7 mil. Kč a odpovídá běžnému průběhu realizace investičních akcí.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Rozhodující část kapitálových výdajů tvořily investiční nákupy, které byly čerpány na 94,6 %. Nejvyšší objem představovaly výdaje na pořízení dlouhodobého hmotného majetku (96,0 %), zejména investice do staveb (97,6 %), které byly realizovány ve vysoké míře a představují stabilní jádro investiční činnosti města.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Nižší čerpání bylo zaznamenáno zejména:</w:t>
      </w:r>
    </w:p>
    <w:p w:rsidR="00A9486B" w:rsidRPr="00A9486B" w:rsidRDefault="00A9486B" w:rsidP="00A9486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 xml:space="preserve">u informačních a komunikačních technologií (43,2 %), kde došlo k posunu nebo </w:t>
      </w:r>
      <w:proofErr w:type="spellStart"/>
      <w:r w:rsidRPr="00A9486B">
        <w:rPr>
          <w:rFonts w:eastAsia="Times New Roman" w:cstheme="minorHAnsi"/>
          <w:sz w:val="24"/>
          <w:szCs w:val="24"/>
          <w:lang w:eastAsia="cs-CZ"/>
        </w:rPr>
        <w:t>nerealizaci</w:t>
      </w:r>
      <w:proofErr w:type="spellEnd"/>
      <w:r w:rsidRPr="00A9486B">
        <w:rPr>
          <w:rFonts w:eastAsia="Times New Roman" w:cstheme="minorHAnsi"/>
          <w:sz w:val="24"/>
          <w:szCs w:val="24"/>
          <w:lang w:eastAsia="cs-CZ"/>
        </w:rPr>
        <w:t xml:space="preserve"> části plánovaných investic,</w:t>
      </w:r>
    </w:p>
    <w:p w:rsidR="00A9486B" w:rsidRPr="00A9486B" w:rsidRDefault="00A9486B" w:rsidP="00A9486B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u dopravních prostředků (74,8 %) a pozemků (74,4 %), což souvisí především s časovým posunem realizace nebo nedokončením jednotlivých akcí.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Výdaje na pořízení dlouhodobého nehmotného majetku byly čerpány na 67,5 %, přičemž nízké plnění bylo zejména u programového vybavení (50,6 %), což naznačuje odložení nebo úpravu plánovaných IT projektů.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Investiční transfery byly realizovány na 94,6 %, přičemž transfery příspěvkovým organizacím byly čerpány prakticky v plné výši. Nižší čerpání bylo zaznamenáno u transferů podnikatelům (87,2 %), což souvisí s nižším využitím podpory nebo časovým posunem projektů.</w:t>
      </w:r>
    </w:p>
    <w:p w:rsidR="00A9486B" w:rsidRPr="00A9486B" w:rsidRDefault="00A9486B" w:rsidP="00A9486B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cs-CZ"/>
        </w:rPr>
      </w:pPr>
      <w:r w:rsidRPr="00A9486B">
        <w:rPr>
          <w:rFonts w:eastAsia="Times New Roman" w:cstheme="minorHAnsi"/>
          <w:sz w:val="24"/>
          <w:szCs w:val="24"/>
          <w:lang w:eastAsia="cs-CZ"/>
        </w:rPr>
        <w:t>Celkově lze konstatovat, že kapitálové výdaje byly realizovány ve vysoké míře a investiční činnost města probíhala stabilně. Nevyčerpání prostředků je dáno především časovým posunem některých akcí a neznamená systémový problém v řízení investic.</w:t>
      </w:r>
    </w:p>
    <w:p w:rsidR="00A9486B" w:rsidRDefault="00A9486B" w:rsidP="00CB0A6F">
      <w:pPr>
        <w:spacing w:after="120" w:line="240" w:lineRule="auto"/>
        <w:rPr>
          <w:rFonts w:cstheme="minorHAnsi"/>
        </w:rPr>
      </w:pPr>
    </w:p>
    <w:p w:rsidR="00D70672" w:rsidRDefault="00D70672" w:rsidP="00CB0A6F">
      <w:pPr>
        <w:spacing w:after="120" w:line="240" w:lineRule="auto"/>
        <w:rPr>
          <w:rFonts w:cstheme="minorHAnsi"/>
          <w:b/>
          <w:sz w:val="28"/>
        </w:rPr>
      </w:pPr>
      <w:r w:rsidRPr="00D70672">
        <w:rPr>
          <w:rFonts w:cstheme="minorHAnsi"/>
          <w:b/>
          <w:sz w:val="28"/>
        </w:rPr>
        <w:t>Vyhodnocení salda rozpočtu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D81398" w:rsidRPr="00D81398" w:rsidTr="00D81398">
        <w:trPr>
          <w:trHeight w:val="300"/>
        </w:trPr>
        <w:tc>
          <w:tcPr>
            <w:tcW w:w="1814" w:type="dxa"/>
            <w:vMerge w:val="restart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3629" w:type="dxa"/>
            <w:gridSpan w:val="2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814" w:type="dxa"/>
            <w:vMerge w:val="restart"/>
            <w:shd w:val="clear" w:color="auto" w:fill="4472C4" w:themeFill="accent5"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815" w:type="dxa"/>
            <w:vMerge w:val="restart"/>
            <w:shd w:val="clear" w:color="auto" w:fill="4472C4" w:themeFill="accent5"/>
            <w:noWrap/>
            <w:vAlign w:val="center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color w:val="FFFFFF"/>
                <w:lang w:eastAsia="cs-CZ"/>
              </w:rPr>
              <w:t>Procento plnění/čerpání</w:t>
            </w:r>
          </w:p>
        </w:tc>
      </w:tr>
      <w:tr w:rsidR="00D81398" w:rsidRPr="00D81398" w:rsidTr="00D81398">
        <w:trPr>
          <w:trHeight w:val="300"/>
        </w:trPr>
        <w:tc>
          <w:tcPr>
            <w:tcW w:w="1814" w:type="dxa"/>
            <w:vMerge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1814" w:type="dxa"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15" w:type="dxa"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814" w:type="dxa"/>
            <w:vMerge/>
            <w:shd w:val="clear" w:color="auto" w:fill="4472C4" w:themeFill="accent5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  <w:tc>
          <w:tcPr>
            <w:tcW w:w="1815" w:type="dxa"/>
            <w:vMerge/>
            <w:shd w:val="clear" w:color="auto" w:fill="4472C4" w:themeFill="accent5"/>
            <w:noWrap/>
            <w:vAlign w:val="bottom"/>
          </w:tcPr>
          <w:p w:rsidR="00D81398" w:rsidRPr="00D81398" w:rsidRDefault="00D81398" w:rsidP="00D813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FFFF" w:themeColor="background1"/>
                <w:lang w:eastAsia="cs-CZ"/>
              </w:rPr>
            </w:pPr>
          </w:p>
        </w:tc>
      </w:tr>
      <w:tr w:rsidR="00D81398" w:rsidRPr="00D70672" w:rsidTr="00D81398">
        <w:trPr>
          <w:trHeight w:val="300"/>
        </w:trPr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1 545 060,00</w:t>
            </w:r>
          </w:p>
        </w:tc>
        <w:tc>
          <w:tcPr>
            <w:tcW w:w="1815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1 689 326,00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1 670 441,00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98,88%</w:t>
            </w:r>
          </w:p>
        </w:tc>
      </w:tr>
      <w:tr w:rsidR="00D81398" w:rsidRPr="00D70672" w:rsidTr="00D81398">
        <w:trPr>
          <w:trHeight w:val="300"/>
        </w:trPr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1 545 060,00</w:t>
            </w:r>
          </w:p>
        </w:tc>
        <w:tc>
          <w:tcPr>
            <w:tcW w:w="1815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1 738 273,00</w:t>
            </w:r>
          </w:p>
        </w:tc>
        <w:tc>
          <w:tcPr>
            <w:tcW w:w="1814" w:type="dxa"/>
            <w:shd w:val="clear" w:color="000000" w:fill="FFFFFF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212529"/>
                <w:lang w:eastAsia="cs-CZ"/>
              </w:rPr>
              <w:t>1 549 206,00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89,12%</w:t>
            </w:r>
          </w:p>
        </w:tc>
      </w:tr>
      <w:tr w:rsidR="00D70672" w:rsidRPr="00D70672" w:rsidTr="00D81398">
        <w:trPr>
          <w:trHeight w:val="300"/>
        </w:trPr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0,00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-48 947,00</w:t>
            </w:r>
          </w:p>
        </w:tc>
        <w:tc>
          <w:tcPr>
            <w:tcW w:w="1814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121 235,00</w:t>
            </w:r>
          </w:p>
        </w:tc>
        <w:tc>
          <w:tcPr>
            <w:tcW w:w="1815" w:type="dxa"/>
            <w:shd w:val="clear" w:color="auto" w:fill="auto"/>
            <w:noWrap/>
            <w:vAlign w:val="bottom"/>
            <w:hideMark/>
          </w:tcPr>
          <w:p w:rsidR="00D70672" w:rsidRPr="00D70672" w:rsidRDefault="00D70672" w:rsidP="00D706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D70672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</w:tr>
    </w:tbl>
    <w:p w:rsidR="00D70672" w:rsidRDefault="00D70672" w:rsidP="00CB0A6F">
      <w:pPr>
        <w:spacing w:after="120" w:line="240" w:lineRule="auto"/>
        <w:rPr>
          <w:rFonts w:cstheme="minorHAnsi"/>
          <w:b/>
          <w:sz w:val="28"/>
        </w:rPr>
      </w:pP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Pro rok 2025 byl schválen rozpočet města jako vyrovnaný ve výši </w:t>
      </w:r>
      <w:r w:rsidRPr="00D81398">
        <w:rPr>
          <w:rStyle w:val="Siln"/>
          <w:rFonts w:asciiTheme="minorHAnsi" w:hAnsiTheme="minorHAnsi" w:cstheme="minorHAnsi"/>
        </w:rPr>
        <w:t>1 545,1 mil. Kč</w:t>
      </w:r>
      <w:r w:rsidRPr="00D81398">
        <w:rPr>
          <w:rFonts w:asciiTheme="minorHAnsi" w:hAnsiTheme="minorHAnsi" w:cstheme="minorHAnsi"/>
        </w:rPr>
        <w:t xml:space="preserve">. V průběhu roku byl upraven na </w:t>
      </w:r>
      <w:r w:rsidRPr="00D81398">
        <w:rPr>
          <w:rStyle w:val="Siln"/>
          <w:rFonts w:asciiTheme="minorHAnsi" w:hAnsiTheme="minorHAnsi" w:cstheme="minorHAnsi"/>
        </w:rPr>
        <w:t>1 689,3 mil. Kč</w:t>
      </w:r>
      <w:r w:rsidRPr="00D81398">
        <w:rPr>
          <w:rFonts w:asciiTheme="minorHAnsi" w:hAnsiTheme="minorHAnsi" w:cstheme="minorHAnsi"/>
        </w:rPr>
        <w:t xml:space="preserve"> s plánovaným schodkem </w:t>
      </w:r>
      <w:r w:rsidRPr="00D81398">
        <w:rPr>
          <w:rStyle w:val="Siln"/>
          <w:rFonts w:asciiTheme="minorHAnsi" w:hAnsiTheme="minorHAnsi" w:cstheme="minorHAnsi"/>
        </w:rPr>
        <w:t>48,9 mil. Kč</w:t>
      </w:r>
      <w:r w:rsidRPr="00D81398">
        <w:rPr>
          <w:rFonts w:asciiTheme="minorHAnsi" w:hAnsiTheme="minorHAnsi" w:cstheme="minorHAnsi"/>
        </w:rPr>
        <w:t xml:space="preserve">. Skutečný výsledek </w:t>
      </w:r>
      <w:r w:rsidRPr="00D81398">
        <w:rPr>
          <w:rFonts w:asciiTheme="minorHAnsi" w:hAnsiTheme="minorHAnsi" w:cstheme="minorHAnsi"/>
        </w:rPr>
        <w:lastRenderedPageBreak/>
        <w:t xml:space="preserve">hospodaření však překonal očekávání, kdy </w:t>
      </w:r>
      <w:r w:rsidRPr="00D81398">
        <w:rPr>
          <w:rFonts w:asciiTheme="minorHAnsi" w:hAnsiTheme="minorHAnsi" w:cstheme="minorHAnsi"/>
          <w:b/>
        </w:rPr>
        <w:t>hospodaření statutárního města Chomutova v roce 2025 skončilo přebytkem ve výši 121,2 mil. Kč</w:t>
      </w:r>
      <w:r w:rsidRPr="00D81398">
        <w:rPr>
          <w:rFonts w:asciiTheme="minorHAnsi" w:hAnsiTheme="minorHAnsi" w:cstheme="minorHAnsi"/>
        </w:rPr>
        <w:t>. Tento výsledek byl dosažen kombinací vyššího plnění příjmů a výrazně nižšího čerpání výdajů.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Tento výsledek je o to významnější, že město nejen vyrovnalo plánovaný deficit, ale zároveň překročilo schválený rámec hospodaření o </w:t>
      </w:r>
      <w:r w:rsidRPr="00D81398">
        <w:rPr>
          <w:rStyle w:val="Siln"/>
          <w:rFonts w:asciiTheme="minorHAnsi" w:hAnsiTheme="minorHAnsi" w:cstheme="minorHAnsi"/>
          <w:b w:val="0"/>
        </w:rPr>
        <w:t>170,2 mil. Kč</w:t>
      </w:r>
      <w:r w:rsidRPr="00D81398">
        <w:rPr>
          <w:rFonts w:asciiTheme="minorHAnsi" w:hAnsiTheme="minorHAnsi" w:cstheme="minorHAnsi"/>
          <w:b/>
        </w:rPr>
        <w:t>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Příjmy města byly naplněny na 98,9 % upraveného rozpočtu a dosáhly výše 1 670,4 mil. Kč. Pozitivní vývoj byl zaznamenán zejména u daňových příjmů, které překročily plán a kompenzovaly nižší plnění v oblasti nedaňových příjmů.</w:t>
      </w:r>
      <w:r w:rsidRPr="00D81398">
        <w:t xml:space="preserve"> </w:t>
      </w:r>
      <w:r w:rsidRPr="00D81398">
        <w:rPr>
          <w:rFonts w:asciiTheme="minorHAnsi" w:hAnsiTheme="minorHAnsi" w:cstheme="minorHAnsi"/>
        </w:rPr>
        <w:t>Část plánovaných dotací ve výši přibližně 38 mil. Kč nebyla v roce 2025 připsána a bude příjmem rozpočtu až v roce 2026.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Výdaje byly čerpány na 89,1 % upraveného rozpočtu, což představuje významnou, téměř 11% úsporu oproti plánovaným hodnotám. Nižší čerpání se projevilo především u běžných výdajů, zejména v oblasti provozních nákladů, energií a finančních operací, a dále vlivem časového posunu některých investičních akcí.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 xml:space="preserve">Kapitálové výdaje byly realizovány na </w:t>
      </w:r>
      <w:r w:rsidRPr="00D81398">
        <w:rPr>
          <w:rStyle w:val="Siln"/>
          <w:rFonts w:asciiTheme="minorHAnsi" w:hAnsiTheme="minorHAnsi" w:cstheme="minorHAnsi"/>
          <w:b w:val="0"/>
        </w:rPr>
        <w:t>95,59 % plánovaného objemu</w:t>
      </w:r>
      <w:r w:rsidRPr="00D81398">
        <w:rPr>
          <w:rFonts w:asciiTheme="minorHAnsi" w:hAnsiTheme="minorHAnsi" w:cstheme="minorHAnsi"/>
        </w:rPr>
        <w:t>, což dokládá, že investiční aktivity města probíhaly podle plánů a bez negativního dopadu na finanční stabilitu.</w:t>
      </w:r>
    </w:p>
    <w:p w:rsidR="00D81398" w:rsidRPr="00D81398" w:rsidRDefault="00D81398" w:rsidP="00D81398">
      <w:pPr>
        <w:pStyle w:val="Normlnweb"/>
        <w:jc w:val="both"/>
        <w:rPr>
          <w:rFonts w:asciiTheme="minorHAnsi" w:hAnsiTheme="minorHAnsi" w:cstheme="minorHAnsi"/>
        </w:rPr>
      </w:pPr>
      <w:r w:rsidRPr="00D81398">
        <w:rPr>
          <w:rFonts w:asciiTheme="minorHAnsi" w:hAnsiTheme="minorHAnsi" w:cstheme="minorHAnsi"/>
        </w:rPr>
        <w:t>Celkový výsledek hospodaření tak byl příznivější oproti schválenému i upravenému rozpočtu. Hospodaření města lze hodnotit jako stabilní a obezřetné, přičemž dosažený přebytek posiluje finanční rezervy města do dalších let.</w:t>
      </w:r>
    </w:p>
    <w:p w:rsidR="00D81398" w:rsidRPr="0042205E" w:rsidRDefault="00D81398" w:rsidP="00D81398">
      <w:pPr>
        <w:pStyle w:val="Nadpis4"/>
        <w:rPr>
          <w:rFonts w:asciiTheme="minorHAnsi" w:hAnsiTheme="minorHAnsi" w:cstheme="minorHAnsi"/>
          <w:color w:val="auto"/>
          <w:sz w:val="32"/>
          <w:szCs w:val="24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  <w:szCs w:val="24"/>
        </w:rPr>
        <w:t>Provozní saldo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29"/>
        <w:gridCol w:w="1843"/>
        <w:gridCol w:w="1701"/>
        <w:gridCol w:w="1559"/>
      </w:tblGrid>
      <w:tr w:rsidR="009D60FD" w:rsidRPr="009D60FD" w:rsidTr="009D60FD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 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Procento plnění/čerpání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1 537 859,90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1 658 392,70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1 639 453,59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98,86%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1 319 109,90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1 483 979,80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1 308 661,41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88,19%</w:t>
            </w:r>
          </w:p>
        </w:tc>
      </w:tr>
      <w:tr w:rsidR="009D60FD" w:rsidRPr="009D60FD" w:rsidTr="009D60FD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218 750,00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174 412,90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330 792,18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189,66%</w:t>
            </w:r>
          </w:p>
        </w:tc>
      </w:tr>
    </w:tbl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hospodaření města dosáhlo </w:t>
      </w:r>
      <w:r w:rsidRPr="0042205E">
        <w:rPr>
          <w:rStyle w:val="Siln"/>
          <w:rFonts w:asciiTheme="minorHAnsi" w:hAnsiTheme="minorHAnsi" w:cstheme="minorHAnsi"/>
        </w:rPr>
        <w:t>mimořádně silného výsledku</w:t>
      </w:r>
      <w:r w:rsidRPr="0042205E">
        <w:rPr>
          <w:rFonts w:asciiTheme="minorHAnsi" w:hAnsiTheme="minorHAnsi" w:cstheme="minorHAnsi"/>
        </w:rPr>
        <w:t>: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Skutečnost:</w:t>
      </w:r>
      <w:r w:rsidRPr="0042205E">
        <w:rPr>
          <w:rFonts w:asciiTheme="minorHAnsi" w:hAnsiTheme="minorHAnsi" w:cstheme="minorHAnsi"/>
          <w:b/>
        </w:rPr>
        <w:t xml:space="preserve"> +330,8 mil. Kč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Upravený rozpočet:</w:t>
      </w:r>
      <w:r w:rsidRPr="0042205E">
        <w:rPr>
          <w:rFonts w:asciiTheme="minorHAnsi" w:hAnsiTheme="minorHAnsi" w:cstheme="minorHAnsi"/>
          <w:b/>
        </w:rPr>
        <w:t xml:space="preserve"> +174,4 mil. Kč</w:t>
      </w:r>
    </w:p>
    <w:p w:rsidR="00D81398" w:rsidRPr="0042205E" w:rsidRDefault="00D81398" w:rsidP="00D81398">
      <w:pPr>
        <w:pStyle w:val="Normlnweb"/>
        <w:numPr>
          <w:ilvl w:val="0"/>
          <w:numId w:val="11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Plnění:</w:t>
      </w:r>
      <w:r w:rsidRPr="0042205E">
        <w:rPr>
          <w:rFonts w:asciiTheme="minorHAnsi" w:hAnsiTheme="minorHAnsi" w:cstheme="minorHAnsi"/>
          <w:b/>
        </w:rPr>
        <w:t xml:space="preserve"> </w:t>
      </w:r>
      <w:r w:rsidRPr="0042205E">
        <w:rPr>
          <w:rStyle w:val="Siln"/>
          <w:rFonts w:asciiTheme="minorHAnsi" w:hAnsiTheme="minorHAnsi" w:cstheme="minorHAnsi"/>
          <w:b w:val="0"/>
        </w:rPr>
        <w:t>189,66 %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Interpretace: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saldo je téměř </w:t>
      </w:r>
      <w:r w:rsidRPr="0042205E">
        <w:rPr>
          <w:rStyle w:val="Siln"/>
          <w:rFonts w:asciiTheme="minorHAnsi" w:hAnsiTheme="minorHAnsi" w:cstheme="minorHAnsi"/>
        </w:rPr>
        <w:t>dvojnásobné oproti plánu</w:t>
      </w:r>
      <w:r w:rsidRPr="0042205E">
        <w:rPr>
          <w:rFonts w:asciiTheme="minorHAnsi" w:hAnsiTheme="minorHAnsi" w:cstheme="minorHAnsi"/>
        </w:rPr>
        <w:t xml:space="preserve"> (+156 mil. Kč nad rozpočet).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Jedná se o </w:t>
      </w:r>
      <w:r w:rsidRPr="0042205E">
        <w:rPr>
          <w:rStyle w:val="Siln"/>
          <w:rFonts w:asciiTheme="minorHAnsi" w:hAnsiTheme="minorHAnsi" w:cstheme="minorHAnsi"/>
        </w:rPr>
        <w:t>nejvyšší provozní přebytek v novodobé historii města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Hlavní důvody: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vysoké inkaso daňových příjmů,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výrazné úspory ve výdajích (cca 11 % rozpočtu),</w:t>
      </w:r>
    </w:p>
    <w:p w:rsidR="00D81398" w:rsidRP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nečerpání části rezerv a provozních výdajů,</w:t>
      </w:r>
    </w:p>
    <w:p w:rsidR="0042205E" w:rsidRDefault="00D81398" w:rsidP="00D81398">
      <w:pPr>
        <w:pStyle w:val="Normlnweb"/>
        <w:numPr>
          <w:ilvl w:val="1"/>
          <w:numId w:val="12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úspory na energiích, mzdách a službách.</w:t>
      </w:r>
    </w:p>
    <w:p w:rsidR="00D81398" w:rsidRPr="0042205E" w:rsidRDefault="00D81398" w:rsidP="0042205E">
      <w:pPr>
        <w:pStyle w:val="Normlnweb"/>
        <w:jc w:val="both"/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lastRenderedPageBreak/>
        <w:t>Závěr: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 xml:space="preserve">Provozní část rozpočtu je </w:t>
      </w:r>
      <w:r w:rsidRPr="0042205E">
        <w:rPr>
          <w:rStyle w:val="Siln"/>
          <w:rFonts w:asciiTheme="minorHAnsi" w:hAnsiTheme="minorHAnsi" w:cstheme="minorHAnsi"/>
        </w:rPr>
        <w:t>vysoce přebytková a strukturálně zdravá</w:t>
      </w:r>
      <w:r w:rsidRPr="0042205E">
        <w:rPr>
          <w:rFonts w:asciiTheme="minorHAnsi" w:hAnsiTheme="minorHAnsi" w:cstheme="minorHAnsi"/>
        </w:rPr>
        <w:t>. Město generuje silné vlastní zdroje, což je klíčový předpoklad pro financování investic bez nutnosti zadlužování.</w:t>
      </w:r>
    </w:p>
    <w:p w:rsidR="00D81398" w:rsidRPr="0042205E" w:rsidRDefault="00D81398" w:rsidP="00D81398">
      <w:pPr>
        <w:rPr>
          <w:rFonts w:cstheme="minorHAnsi"/>
          <w:sz w:val="24"/>
          <w:szCs w:val="24"/>
        </w:rPr>
      </w:pPr>
    </w:p>
    <w:p w:rsidR="00D81398" w:rsidRPr="0042205E" w:rsidRDefault="00D81398" w:rsidP="00D81398">
      <w:pPr>
        <w:pStyle w:val="Nadpis4"/>
        <w:rPr>
          <w:rFonts w:asciiTheme="minorHAnsi" w:hAnsiTheme="minorHAnsi" w:cstheme="minorHAnsi"/>
          <w:color w:val="auto"/>
          <w:sz w:val="32"/>
          <w:szCs w:val="24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  <w:szCs w:val="24"/>
        </w:rPr>
        <w:t>Kapitálové saldo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629"/>
        <w:gridCol w:w="1843"/>
        <w:gridCol w:w="1701"/>
        <w:gridCol w:w="1559"/>
      </w:tblGrid>
      <w:tr w:rsidR="009D60FD" w:rsidRPr="009D60FD" w:rsidTr="00BC0B86">
        <w:trPr>
          <w:trHeight w:val="30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 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Rozpočet 2025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Skutečnost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Procento plnění/čerpání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Schválený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  <w:t>Upravený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0FD" w:rsidRPr="009D60FD" w:rsidRDefault="009D60FD" w:rsidP="00BC0B8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cs-CZ"/>
              </w:rPr>
            </w:pP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Příjmy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7 200,00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30 933,10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30 987,91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100,18%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color w:val="212529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color w:val="212529"/>
                <w:lang w:eastAsia="cs-CZ"/>
              </w:rPr>
              <w:t> Výdaje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225 950,00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254 293,00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240 544,77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94,59%</w:t>
            </w:r>
          </w:p>
        </w:tc>
      </w:tr>
      <w:tr w:rsidR="009D60FD" w:rsidRPr="009D60FD" w:rsidTr="00BC0B86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Pr="009D60FD" w:rsidRDefault="009D60FD" w:rsidP="009D60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D60FD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 xml:space="preserve"> Saldo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-218 750,00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-223 359,90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FF0000"/>
              </w:rPr>
              <w:t xml:space="preserve">-209 556,86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0FD" w:rsidRDefault="009D60FD" w:rsidP="009D60FD">
            <w:pPr>
              <w:spacing w:after="0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93,82%</w:t>
            </w:r>
          </w:p>
        </w:tc>
      </w:tr>
    </w:tbl>
    <w:p w:rsidR="009D60FD" w:rsidRDefault="009D60FD" w:rsidP="00D81398">
      <w:pPr>
        <w:pStyle w:val="Normlnweb"/>
        <w:rPr>
          <w:rFonts w:asciiTheme="minorHAnsi" w:hAnsiTheme="minorHAnsi" w:cstheme="minorHAnsi"/>
        </w:rPr>
      </w:pP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Kapitálové hospodaření skončilo podle očekávání v deficitu: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Skutečnost:</w:t>
      </w:r>
      <w:r w:rsidRPr="0042205E">
        <w:rPr>
          <w:rFonts w:asciiTheme="minorHAnsi" w:hAnsiTheme="minorHAnsi" w:cstheme="minorHAnsi"/>
          <w:b/>
        </w:rPr>
        <w:t xml:space="preserve"> −209,6 mil. Kč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Upravený rozpočet:</w:t>
      </w:r>
      <w:r w:rsidRPr="0042205E">
        <w:rPr>
          <w:rFonts w:asciiTheme="minorHAnsi" w:hAnsiTheme="minorHAnsi" w:cstheme="minorHAnsi"/>
          <w:b/>
        </w:rPr>
        <w:t xml:space="preserve"> −223,4 mil. Kč</w:t>
      </w:r>
    </w:p>
    <w:p w:rsidR="00D81398" w:rsidRPr="0042205E" w:rsidRDefault="00D81398" w:rsidP="00D81398">
      <w:pPr>
        <w:pStyle w:val="Normlnweb"/>
        <w:numPr>
          <w:ilvl w:val="0"/>
          <w:numId w:val="13"/>
        </w:numPr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  <w:b w:val="0"/>
        </w:rPr>
        <w:t>Plnění:</w:t>
      </w:r>
      <w:r w:rsidRPr="0042205E">
        <w:rPr>
          <w:rFonts w:asciiTheme="minorHAnsi" w:hAnsiTheme="minorHAnsi" w:cstheme="minorHAnsi"/>
          <w:b/>
        </w:rPr>
        <w:t xml:space="preserve"> </w:t>
      </w:r>
      <w:r w:rsidRPr="0042205E">
        <w:rPr>
          <w:rStyle w:val="Siln"/>
          <w:rFonts w:asciiTheme="minorHAnsi" w:hAnsiTheme="minorHAnsi" w:cstheme="minorHAnsi"/>
          <w:b w:val="0"/>
        </w:rPr>
        <w:t>93,82 %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="Segoe UI Symbol" w:hAnsi="Segoe UI Symbol" w:cs="Segoe UI Symbol"/>
        </w:rPr>
        <w:t>👉</w:t>
      </w:r>
      <w:r w:rsidRPr="0042205E">
        <w:rPr>
          <w:rFonts w:asciiTheme="minorHAnsi" w:hAnsiTheme="minorHAnsi" w:cstheme="minorHAnsi"/>
        </w:rPr>
        <w:t xml:space="preserve"> </w:t>
      </w:r>
      <w:r w:rsidRPr="0042205E">
        <w:rPr>
          <w:rStyle w:val="Siln"/>
          <w:rFonts w:asciiTheme="minorHAnsi" w:hAnsiTheme="minorHAnsi" w:cstheme="minorHAnsi"/>
        </w:rPr>
        <w:t>Interpretace: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Deficit je </w:t>
      </w:r>
      <w:r w:rsidRPr="0042205E">
        <w:rPr>
          <w:rStyle w:val="Siln"/>
          <w:rFonts w:asciiTheme="minorHAnsi" w:hAnsiTheme="minorHAnsi" w:cstheme="minorHAnsi"/>
        </w:rPr>
        <w:t>nižší (lepší) než plán</w:t>
      </w:r>
      <w:r w:rsidRPr="0042205E">
        <w:rPr>
          <w:rFonts w:asciiTheme="minorHAnsi" w:hAnsiTheme="minorHAnsi" w:cstheme="minorHAnsi"/>
        </w:rPr>
        <w:t xml:space="preserve"> o cca 14 mil. Kč.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Kapitálové výdaje byly realizovány ve vysoké míře (</w:t>
      </w:r>
      <w:r w:rsidRPr="0042205E">
        <w:rPr>
          <w:rStyle w:val="Siln"/>
          <w:rFonts w:asciiTheme="minorHAnsi" w:hAnsiTheme="minorHAnsi" w:cstheme="minorHAnsi"/>
        </w:rPr>
        <w:t>94,6 %</w:t>
      </w:r>
      <w:r w:rsidRPr="0042205E">
        <w:rPr>
          <w:rFonts w:asciiTheme="minorHAnsi" w:hAnsiTheme="minorHAnsi" w:cstheme="minorHAnsi"/>
        </w:rPr>
        <w:t>), což potvrzuje aktivní investiční politiku.</w:t>
      </w:r>
    </w:p>
    <w:p w:rsidR="00D81398" w:rsidRPr="0042205E" w:rsidRDefault="00D81398" w:rsidP="00D81398">
      <w:pPr>
        <w:pStyle w:val="Normlnweb"/>
        <w:numPr>
          <w:ilvl w:val="0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Nižší deficit je dán:</w:t>
      </w:r>
    </w:p>
    <w:p w:rsidR="00D81398" w:rsidRPr="0042205E" w:rsidRDefault="00D81398" w:rsidP="00D81398">
      <w:pPr>
        <w:pStyle w:val="Normlnweb"/>
        <w:numPr>
          <w:ilvl w:val="1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mírnými úsporami investic,</w:t>
      </w:r>
    </w:p>
    <w:p w:rsidR="00D81398" w:rsidRPr="0042205E" w:rsidRDefault="00D81398" w:rsidP="00D81398">
      <w:pPr>
        <w:pStyle w:val="Normlnweb"/>
        <w:numPr>
          <w:ilvl w:val="1"/>
          <w:numId w:val="14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částečně vyššími kapitálovými příjmy a transfery.</w:t>
      </w:r>
    </w:p>
    <w:p w:rsidR="00D81398" w:rsidRPr="0042205E" w:rsidRDefault="00D81398" w:rsidP="00D81398">
      <w:pPr>
        <w:pStyle w:val="Normlnweb"/>
        <w:rPr>
          <w:rFonts w:asciiTheme="minorHAnsi" w:hAnsiTheme="minorHAnsi" w:cstheme="minorHAnsi"/>
        </w:rPr>
      </w:pPr>
      <w:r w:rsidRPr="0042205E">
        <w:rPr>
          <w:rFonts w:ascii="Segoe UI Symbol" w:hAnsi="Segoe UI Symbol" w:cs="Segoe UI Symbol"/>
        </w:rPr>
        <w:t>👉</w:t>
      </w:r>
      <w:r w:rsidRPr="0042205E">
        <w:rPr>
          <w:rFonts w:asciiTheme="minorHAnsi" w:hAnsiTheme="minorHAnsi" w:cstheme="minorHAnsi"/>
        </w:rPr>
        <w:t xml:space="preserve"> </w:t>
      </w:r>
      <w:r w:rsidRPr="0042205E">
        <w:rPr>
          <w:rStyle w:val="Siln"/>
          <w:rFonts w:asciiTheme="minorHAnsi" w:hAnsiTheme="minorHAnsi" w:cstheme="minorHAnsi"/>
        </w:rPr>
        <w:t>Závěr: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>Kapitálové saldo odpovídá standardnímu modelu hospodaření města:</w:t>
      </w:r>
    </w:p>
    <w:p w:rsidR="00D81398" w:rsidRPr="0042205E" w:rsidRDefault="00D81398" w:rsidP="00D81398">
      <w:pPr>
        <w:pStyle w:val="Normlnweb"/>
        <w:numPr>
          <w:ilvl w:val="0"/>
          <w:numId w:val="15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město </w:t>
      </w:r>
      <w:r w:rsidRPr="0042205E">
        <w:rPr>
          <w:rStyle w:val="Siln"/>
          <w:rFonts w:asciiTheme="minorHAnsi" w:hAnsiTheme="minorHAnsi" w:cstheme="minorHAnsi"/>
        </w:rPr>
        <w:t>investuje (deficit)</w:t>
      </w:r>
      <w:r w:rsidRPr="0042205E">
        <w:rPr>
          <w:rFonts w:asciiTheme="minorHAnsi" w:hAnsiTheme="minorHAnsi" w:cstheme="minorHAnsi"/>
        </w:rPr>
        <w:t>,</w:t>
      </w:r>
    </w:p>
    <w:p w:rsidR="00D81398" w:rsidRPr="0042205E" w:rsidRDefault="00D81398" w:rsidP="00D81398">
      <w:pPr>
        <w:pStyle w:val="Normlnweb"/>
        <w:numPr>
          <w:ilvl w:val="0"/>
          <w:numId w:val="15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ale tento deficit je </w:t>
      </w:r>
      <w:r w:rsidRPr="0042205E">
        <w:rPr>
          <w:rStyle w:val="Siln"/>
          <w:rFonts w:asciiTheme="minorHAnsi" w:hAnsiTheme="minorHAnsi" w:cstheme="minorHAnsi"/>
        </w:rPr>
        <w:t>plně kryt provozním přebytkem</w:t>
      </w:r>
      <w:r w:rsidRPr="0042205E">
        <w:rPr>
          <w:rFonts w:asciiTheme="minorHAnsi" w:hAnsiTheme="minorHAnsi" w:cstheme="minorHAnsi"/>
        </w:rPr>
        <w:t>.</w:t>
      </w:r>
    </w:p>
    <w:p w:rsidR="0042205E" w:rsidRDefault="0042205E" w:rsidP="00D81398">
      <w:pPr>
        <w:pStyle w:val="Nadpis3"/>
        <w:rPr>
          <w:rStyle w:val="Siln"/>
          <w:rFonts w:asciiTheme="minorHAnsi" w:hAnsiTheme="minorHAnsi" w:cstheme="minorHAnsi"/>
          <w:bCs w:val="0"/>
          <w:color w:val="auto"/>
          <w:sz w:val="32"/>
        </w:rPr>
      </w:pPr>
    </w:p>
    <w:p w:rsidR="00D81398" w:rsidRPr="0042205E" w:rsidRDefault="00D81398" w:rsidP="00D81398">
      <w:pPr>
        <w:pStyle w:val="Nadpis3"/>
        <w:rPr>
          <w:rFonts w:asciiTheme="minorHAnsi" w:hAnsiTheme="minorHAnsi" w:cstheme="minorHAnsi"/>
          <w:color w:val="auto"/>
          <w:sz w:val="32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t>V</w:t>
      </w:r>
      <w:r w:rsidR="0042205E"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t>zájemný vztah:</w:t>
      </w:r>
    </w:p>
    <w:p w:rsidR="00D81398" w:rsidRPr="0042205E" w:rsidRDefault="00D81398" w:rsidP="00D81398">
      <w:pPr>
        <w:pStyle w:val="Normlnweb"/>
        <w:numPr>
          <w:ilvl w:val="0"/>
          <w:numId w:val="16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Provozní přebytek:</w:t>
      </w:r>
      <w:r w:rsidRPr="0042205E">
        <w:rPr>
          <w:rFonts w:asciiTheme="minorHAnsi" w:hAnsiTheme="minorHAnsi" w:cstheme="minorHAnsi"/>
        </w:rPr>
        <w:t xml:space="preserve"> +330,8 mil. Kč</w:t>
      </w:r>
    </w:p>
    <w:p w:rsidR="00D81398" w:rsidRPr="0042205E" w:rsidRDefault="00D81398" w:rsidP="00D81398">
      <w:pPr>
        <w:pStyle w:val="Normlnweb"/>
        <w:numPr>
          <w:ilvl w:val="0"/>
          <w:numId w:val="16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Kapitálový deficit:</w:t>
      </w:r>
      <w:r w:rsidRPr="0042205E">
        <w:rPr>
          <w:rFonts w:asciiTheme="minorHAnsi" w:hAnsiTheme="minorHAnsi" w:cstheme="minorHAnsi"/>
        </w:rPr>
        <w:t xml:space="preserve"> −209,6 mil. Kč</w:t>
      </w:r>
    </w:p>
    <w:p w:rsidR="00D81398" w:rsidRPr="0042205E" w:rsidRDefault="00D81398" w:rsidP="0042205E">
      <w:pPr>
        <w:pStyle w:val="Normlnweb"/>
        <w:ind w:firstLine="360"/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Po jejich započtení vzniká:</w:t>
      </w:r>
    </w:p>
    <w:p w:rsidR="00D81398" w:rsidRPr="0042205E" w:rsidRDefault="00D81398" w:rsidP="00D81398">
      <w:pPr>
        <w:pStyle w:val="Normlnweb"/>
        <w:numPr>
          <w:ilvl w:val="0"/>
          <w:numId w:val="17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Celkové saldo:</w:t>
      </w:r>
      <w:r w:rsidRPr="0042205E">
        <w:rPr>
          <w:rFonts w:asciiTheme="minorHAnsi" w:hAnsiTheme="minorHAnsi" w:cstheme="minorHAnsi"/>
        </w:rPr>
        <w:t xml:space="preserve"> +121,2 mil. Kč</w:t>
      </w:r>
    </w:p>
    <w:p w:rsidR="00D81398" w:rsidRPr="0042205E" w:rsidRDefault="00D81398" w:rsidP="00D81398">
      <w:pPr>
        <w:rPr>
          <w:rFonts w:cstheme="minorHAnsi"/>
          <w:sz w:val="24"/>
          <w:szCs w:val="24"/>
        </w:rPr>
      </w:pPr>
    </w:p>
    <w:p w:rsidR="00D81398" w:rsidRPr="0042205E" w:rsidRDefault="00D81398" w:rsidP="00D81398">
      <w:pPr>
        <w:pStyle w:val="Nadpis3"/>
        <w:rPr>
          <w:rFonts w:asciiTheme="minorHAnsi" w:hAnsiTheme="minorHAnsi" w:cstheme="minorHAnsi"/>
          <w:color w:val="auto"/>
          <w:sz w:val="32"/>
        </w:rPr>
      </w:pPr>
      <w:r w:rsidRPr="0042205E">
        <w:rPr>
          <w:rStyle w:val="Siln"/>
          <w:rFonts w:asciiTheme="minorHAnsi" w:hAnsiTheme="minorHAnsi" w:cstheme="minorHAnsi"/>
          <w:bCs w:val="0"/>
          <w:color w:val="auto"/>
          <w:sz w:val="32"/>
        </w:rPr>
        <w:lastRenderedPageBreak/>
        <w:t>Celkové hodnocení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Provozní hospodaření je </w:t>
      </w:r>
      <w:r w:rsidRPr="0042205E">
        <w:rPr>
          <w:rStyle w:val="Siln"/>
          <w:rFonts w:asciiTheme="minorHAnsi" w:hAnsiTheme="minorHAnsi" w:cstheme="minorHAnsi"/>
        </w:rPr>
        <w:t>mimořádně silné a nad plánem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 xml:space="preserve">Kapitálové hospodaření je </w:t>
      </w:r>
      <w:r w:rsidRPr="0042205E">
        <w:rPr>
          <w:rStyle w:val="Siln"/>
          <w:rFonts w:asciiTheme="minorHAnsi" w:hAnsiTheme="minorHAnsi" w:cstheme="minorHAnsi"/>
        </w:rPr>
        <w:t>aktivní, ale plně pod kontrolou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D81398">
      <w:pPr>
        <w:pStyle w:val="Normlnweb"/>
        <w:numPr>
          <w:ilvl w:val="0"/>
          <w:numId w:val="18"/>
        </w:numPr>
        <w:rPr>
          <w:rFonts w:asciiTheme="minorHAnsi" w:hAnsiTheme="minorHAnsi" w:cstheme="minorHAnsi"/>
        </w:rPr>
      </w:pPr>
      <w:r w:rsidRPr="0042205E">
        <w:rPr>
          <w:rFonts w:asciiTheme="minorHAnsi" w:hAnsiTheme="minorHAnsi" w:cstheme="minorHAnsi"/>
        </w:rPr>
        <w:t>Město: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neprojídá zdroje</w:t>
      </w:r>
      <w:r w:rsidRPr="0042205E">
        <w:rPr>
          <w:rFonts w:asciiTheme="minorHAnsi" w:hAnsiTheme="minorHAnsi" w:cstheme="minorHAnsi"/>
        </w:rPr>
        <w:t>, ale naopak je generuje,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financuje investice z vlastních přebytků</w:t>
      </w:r>
      <w:r w:rsidRPr="0042205E">
        <w:rPr>
          <w:rFonts w:asciiTheme="minorHAnsi" w:hAnsiTheme="minorHAnsi" w:cstheme="minorHAnsi"/>
        </w:rPr>
        <w:t>,</w:t>
      </w:r>
    </w:p>
    <w:p w:rsidR="00D81398" w:rsidRPr="0042205E" w:rsidRDefault="00D81398" w:rsidP="00D81398">
      <w:pPr>
        <w:pStyle w:val="Normlnweb"/>
        <w:numPr>
          <w:ilvl w:val="1"/>
          <w:numId w:val="18"/>
        </w:numPr>
        <w:rPr>
          <w:rFonts w:asciiTheme="minorHAnsi" w:hAnsiTheme="minorHAnsi" w:cstheme="minorHAnsi"/>
        </w:rPr>
      </w:pPr>
      <w:r w:rsidRPr="0042205E">
        <w:rPr>
          <w:rStyle w:val="Siln"/>
          <w:rFonts w:asciiTheme="minorHAnsi" w:hAnsiTheme="minorHAnsi" w:cstheme="minorHAnsi"/>
        </w:rPr>
        <w:t>nemusí se zadlužovat</w:t>
      </w:r>
      <w:r w:rsidRPr="0042205E">
        <w:rPr>
          <w:rFonts w:asciiTheme="minorHAnsi" w:hAnsiTheme="minorHAnsi" w:cstheme="minorHAnsi"/>
        </w:rPr>
        <w:t>.</w:t>
      </w:r>
    </w:p>
    <w:p w:rsidR="00D81398" w:rsidRPr="0042205E" w:rsidRDefault="00D81398" w:rsidP="0042205E">
      <w:pPr>
        <w:pStyle w:val="Normlnweb"/>
        <w:rPr>
          <w:rFonts w:asciiTheme="minorHAnsi" w:hAnsiTheme="minorHAnsi" w:cstheme="minorHAnsi"/>
          <w:b/>
        </w:rPr>
      </w:pPr>
      <w:r w:rsidRPr="0042205E">
        <w:rPr>
          <w:rStyle w:val="Siln"/>
          <w:rFonts w:asciiTheme="minorHAnsi" w:hAnsiTheme="minorHAnsi" w:cstheme="minorHAnsi"/>
        </w:rPr>
        <w:t>Shrnutí jednou větou:</w:t>
      </w:r>
      <w:r w:rsidR="0042205E">
        <w:rPr>
          <w:rStyle w:val="Siln"/>
          <w:rFonts w:asciiTheme="minorHAnsi" w:hAnsiTheme="minorHAnsi" w:cstheme="minorHAnsi"/>
        </w:rPr>
        <w:t xml:space="preserve"> </w:t>
      </w:r>
      <w:r w:rsidRPr="0042205E">
        <w:rPr>
          <w:rFonts w:asciiTheme="minorHAnsi" w:hAnsiTheme="minorHAnsi" w:cstheme="minorHAnsi"/>
        </w:rPr>
        <w:t xml:space="preserve">Rok 2025 potvrzuje, že město má </w:t>
      </w:r>
      <w:r w:rsidRPr="0042205E">
        <w:rPr>
          <w:rStyle w:val="Siln"/>
          <w:rFonts w:asciiTheme="minorHAnsi" w:hAnsiTheme="minorHAnsi" w:cstheme="minorHAnsi"/>
        </w:rPr>
        <w:t>velmi zdravý finanční model</w:t>
      </w:r>
      <w:r w:rsidR="0042205E">
        <w:rPr>
          <w:rStyle w:val="Siln"/>
          <w:rFonts w:asciiTheme="minorHAnsi" w:hAnsiTheme="minorHAnsi" w:cstheme="minorHAnsi"/>
        </w:rPr>
        <w:t xml:space="preserve">: </w:t>
      </w:r>
      <w:r w:rsidRPr="0042205E">
        <w:rPr>
          <w:rStyle w:val="Siln"/>
          <w:rFonts w:asciiTheme="minorHAnsi" w:hAnsiTheme="minorHAnsi" w:cstheme="minorHAnsi"/>
        </w:rPr>
        <w:t>silný provoz financuje rozvoj (investice) a ještě vytváří rezervu.</w:t>
      </w:r>
    </w:p>
    <w:sectPr w:rsidR="00D81398" w:rsidRPr="00422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35E4"/>
    <w:multiLevelType w:val="multilevel"/>
    <w:tmpl w:val="763A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F1F8B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7258E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892ED2"/>
    <w:multiLevelType w:val="multilevel"/>
    <w:tmpl w:val="BE78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F61778"/>
    <w:multiLevelType w:val="multilevel"/>
    <w:tmpl w:val="F380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7F0C52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D3885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6643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940FF3"/>
    <w:multiLevelType w:val="multilevel"/>
    <w:tmpl w:val="248C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26508C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35476F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9F620D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AD475D"/>
    <w:multiLevelType w:val="hybridMultilevel"/>
    <w:tmpl w:val="13DAE3C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5772903"/>
    <w:multiLevelType w:val="multilevel"/>
    <w:tmpl w:val="30660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043402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771B19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76A8C"/>
    <w:multiLevelType w:val="multilevel"/>
    <w:tmpl w:val="87A2D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7D09E1"/>
    <w:multiLevelType w:val="multilevel"/>
    <w:tmpl w:val="7CDC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"/>
  </w:num>
  <w:num w:numId="3">
    <w:abstractNumId w:val="13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12"/>
  </w:num>
  <w:num w:numId="9">
    <w:abstractNumId w:val="5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17"/>
  </w:num>
  <w:num w:numId="15">
    <w:abstractNumId w:val="2"/>
  </w:num>
  <w:num w:numId="16">
    <w:abstractNumId w:val="14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B66"/>
    <w:rsid w:val="002552DE"/>
    <w:rsid w:val="002C576F"/>
    <w:rsid w:val="003C5389"/>
    <w:rsid w:val="003F45E0"/>
    <w:rsid w:val="0042205E"/>
    <w:rsid w:val="004E200A"/>
    <w:rsid w:val="005B1289"/>
    <w:rsid w:val="006A78A5"/>
    <w:rsid w:val="00700B66"/>
    <w:rsid w:val="00952FE7"/>
    <w:rsid w:val="009D60FD"/>
    <w:rsid w:val="00A806AE"/>
    <w:rsid w:val="00A9486B"/>
    <w:rsid w:val="00AC62E7"/>
    <w:rsid w:val="00B44F5A"/>
    <w:rsid w:val="00C354D7"/>
    <w:rsid w:val="00CB0A6F"/>
    <w:rsid w:val="00D70672"/>
    <w:rsid w:val="00D81398"/>
    <w:rsid w:val="00F0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112F"/>
  <w15:chartTrackingRefBased/>
  <w15:docId w15:val="{BEA0B806-D7D9-4A92-8713-95D596A0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700B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B0A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813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700B6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unhideWhenUsed/>
    <w:rsid w:val="0070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00B66"/>
    <w:rPr>
      <w:b/>
      <w:bCs/>
    </w:rPr>
  </w:style>
  <w:style w:type="character" w:customStyle="1" w:styleId="label">
    <w:name w:val="label"/>
    <w:basedOn w:val="Standardnpsmoodstavce"/>
    <w:rsid w:val="00700B66"/>
  </w:style>
  <w:style w:type="character" w:customStyle="1" w:styleId="Nadpis3Char">
    <w:name w:val="Nadpis 3 Char"/>
    <w:basedOn w:val="Standardnpsmoodstavce"/>
    <w:link w:val="Nadpis3"/>
    <w:uiPriority w:val="9"/>
    <w:rsid w:val="00CB0A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Mkatabulky">
    <w:name w:val="Table Grid"/>
    <w:basedOn w:val="Normlntabulka"/>
    <w:uiPriority w:val="39"/>
    <w:rsid w:val="00A94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semiHidden/>
    <w:rsid w:val="00D8139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5255</Words>
  <Characters>31010</Characters>
  <Application>Microsoft Office Word</Application>
  <DocSecurity>0</DocSecurity>
  <Lines>258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Mareš Jan</dc:creator>
  <cp:keywords/>
  <dc:description/>
  <cp:lastModifiedBy>Mareš Jan</cp:lastModifiedBy>
  <cp:revision>2</cp:revision>
  <dcterms:created xsi:type="dcterms:W3CDTF">2026-06-11T08:08:00Z</dcterms:created>
  <dcterms:modified xsi:type="dcterms:W3CDTF">2026-06-11T08:08:00Z</dcterms:modified>
</cp:coreProperties>
</file>